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876—2506.61</w:t>
      </w:r>
      <w:r>
        <w:rPr>
          <w:rFonts w:ascii="Times New Roman" w:hAnsi="Times New Roman"/>
          <w:b/>
          <w:i w:val="false"/>
          <w:color w:val="000000"/>
          <w:sz w:val="22"/>
        </w:rPr>
        <w:t xml:space="preserve">(10A,17A) </w:t>
      </w:r>
      <w:r>
        <w:rPr>
          <w:rFonts w:ascii="Times New Roman" w:hAnsi="Times New Roman"/>
          <w:b/>
          <w:i w:val="false"/>
          <w:color w:val="000000"/>
          <w:sz w:val="22"/>
        </w:rPr>
        <w:t xml:space="preserve">Rules of civil procedure. </w:t>
      </w:r>
      <w:r>
        <w:rPr>
          <w:rFonts w:ascii="Times New Roman" w:hAnsi="Times New Roman"/>
          <w:b w:val="false"/>
          <w:i w:val="false"/>
          <w:color w:val="000000"/>
          <w:sz w:val="22"/>
        </w:rPr>
        <w:t xml:space="preserve">The rules of civil procedure shall govern the contested case proceedings before the workers’ compensation commissioner unless the provisions are in conflict with these rules and Iowa Code chapters </w:t>
      </w:r>
      <w:hyperlink r:id="rId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In those circumstances, these rules or the appropriate Iowa Code section shall govern. Where appropriate, reference to the word “court” shall be deemed reference to the “workers’ compensation commissioner” and reference to the word “trial” shall be deemed reference to “contested case hearing.”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17A.1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A.pdf" Type="http://schemas.openxmlformats.org/officeDocument/2006/relationships/hyperlink" Id="rId7"/>
    <Relationship TargetMode="External" Target="https://www.legis.iowa.gov/docs/ico/chapter/85B.pdf" Type="http://schemas.openxmlformats.org/officeDocument/2006/relationships/hyperlink" Id="rId8"/>
    <Relationship TargetMode="External" Target="https://www.legis.iowa.gov/docs/ico/chapter/87.pdf" Type="http://schemas.openxmlformats.org/officeDocument/2006/relationships/hyperlink" Id="rId9"/>
    <Relationship TargetMode="External" Target="https://www.legis.iowa.gov/docs/ico/chapter/10A.310.pdf" Type="http://schemas.openxmlformats.org/officeDocument/2006/relationships/hyperlink" Id="rId10"/>
    <Relationship TargetMode="External" Target="https://www.legis.iowa.gov/docs/ico/chapter/17A.1.pdf" Type="http://schemas.openxmlformats.org/officeDocument/2006/relationships/hyperlink" Id="rId11"/>
    <Relationship TargetMode="External" Target="https://www.legis.iowa.gov/docs/ico/chapter/17A.12.pdf" Type="http://schemas.openxmlformats.org/officeDocument/2006/relationships/hyperlink" Id="rId12"/>
    <Relationship TargetMode="External" Target="https://www.legis.iowa.gov/docs/ico/chapter/17A.1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