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876—2506.60</w:t>
      </w:r>
      <w:r>
        <w:rPr>
          <w:rFonts w:ascii="Times New Roman" w:hAnsi="Times New Roman"/>
          <w:b/>
          <w:i w:val="false"/>
          <w:color w:val="000000"/>
          <w:sz w:val="22"/>
        </w:rPr>
        <w:t xml:space="preserve">(10A,17A) </w:t>
      </w:r>
      <w:r>
        <w:rPr>
          <w:rFonts w:ascii="Times New Roman" w:hAnsi="Times New Roman"/>
          <w:b/>
          <w:i w:val="false"/>
          <w:color w:val="000000"/>
          <w:sz w:val="22"/>
        </w:rPr>
        <w:t xml:space="preserve">Dismissal for lack of prosecution. </w:t>
      </w:r>
      <w:r>
        <w:rPr>
          <w:rFonts w:ascii="Times New Roman" w:hAnsi="Times New Roman"/>
          <w:b w:val="false"/>
          <w:i w:val="false"/>
          <w:color w:val="000000"/>
          <w:sz w:val="22"/>
        </w:rPr>
        <w:t>It is the declared policy that in the exercise of reasonable diligence, all contested cases before the workers’ compensation commissioner, except under unusual circumstances, shall be brought to issue and heard at the earliest possible time. To accomplish such purpose, the workers’ compensation commissioner may take the following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2506.60(1)</w:t>
      </w:r>
      <w:r>
        <w:rPr>
          <w:rFonts w:ascii="Times New Roman" w:hAnsi="Times New Roman"/>
          <w:b w:val="false"/>
          <w:i w:val="false"/>
          <w:color w:val="000000"/>
          <w:sz w:val="22"/>
        </w:rPr>
        <w:t> </w:t>
      </w:r>
      <w:r>
        <w:rPr>
          <w:rFonts w:ascii="Times New Roman" w:hAnsi="Times New Roman"/>
          <w:b w:val="false"/>
          <w:i w:val="false"/>
          <w:color w:val="000000"/>
          <w:sz w:val="22"/>
        </w:rPr>
        <w:t xml:space="preserve">Any contested case, where the original notice and petition is on file in excess of two years, may be subject to dismissal after the notice described in subrule </w:t>
      </w:r>
      <w:hyperlink r:id="rId4">
        <w:r>
          <w:rPr>
            <w:rStyle w:val="Hyperlink"/>
            <w:rFonts w:ascii="Times New Roman" w:hAnsi="Times New Roman"/>
            <w:b w:val="false"/>
            <w:i w:val="false"/>
            <w:color w:val="000000"/>
            <w:sz w:val="22"/>
          </w:rPr>
          <w:t>2506.60(2)</w:t>
        </w:r>
      </w:hyperlink>
      <w:r>
        <w:rPr>
          <w:rFonts w:ascii="Times New Roman" w:hAnsi="Times New Roman"/>
          <w:b w:val="false"/>
          <w:i w:val="false"/>
          <w:color w:val="000000"/>
          <w:sz w:val="22"/>
        </w:rPr>
        <w:t xml:space="preserve"> is sent to all parties and after the time as provided for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2506.60(2)</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the circumstances provided in subrule </w:t>
      </w:r>
      <w:hyperlink r:id="rId5">
        <w:r>
          <w:rPr>
            <w:rStyle w:val="Hyperlink"/>
            <w:rFonts w:ascii="Times New Roman" w:hAnsi="Times New Roman"/>
            <w:b w:val="false"/>
            <w:i w:val="false"/>
            <w:color w:val="000000"/>
            <w:sz w:val="22"/>
          </w:rPr>
          <w:t>2506.60(1)</w:t>
        </w:r>
      </w:hyperlink>
      <w:r>
        <w:rPr>
          <w:rFonts w:ascii="Times New Roman" w:hAnsi="Times New Roman"/>
          <w:b w:val="false"/>
          <w:i w:val="false"/>
          <w:color w:val="000000"/>
          <w:sz w:val="22"/>
        </w:rPr>
        <w:t xml:space="preserve"> occur, all parties to the action, or their attorneys, shall be sent a notice from the division of workers’ compensation by certified mail containing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names of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or dates of injury involved in the contested case or appeal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Counsel appearing;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of filing of the petition or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the contested case proceeding will be dismissed without prejudice on the thirtieth day following the date of the notice unless good cause is shown why the contested case proceeding should not be dismissed.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2506.60(3)</w:t>
      </w:r>
      <w:r>
        <w:rPr>
          <w:rFonts w:ascii="Times New Roman" w:hAnsi="Times New Roman"/>
          <w:b w:val="false"/>
          <w:i w:val="false"/>
          <w:color w:val="000000"/>
          <w:sz w:val="22"/>
        </w:rPr>
        <w:t> </w:t>
      </w:r>
      <w:r>
        <w:rPr>
          <w:rFonts w:ascii="Times New Roman" w:hAnsi="Times New Roman"/>
          <w:b w:val="false"/>
          <w:i w:val="false"/>
          <w:color w:val="000000"/>
          <w:sz w:val="22"/>
        </w:rPr>
        <w:t>The action or actions dismissed may, at the discretion of the workers’ compensation commissioner, and shall, upon a showing that such dismissal was the result of oversight, mistake or other reasonable cause, be reinstated. Applications for such reinstatement, setting forth the grounds, shall be filed within three months from the date of dismissal.</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
        <w:r>
          <w:rPr>
            <w:rStyle w:val="Hyperlink"/>
            <w:rFonts w:ascii="Times New Roman" w:hAnsi="Times New Roman"/>
            <w:b w:val="false"/>
            <w:i w:val="false"/>
            <w:color w:val="000000"/>
            <w:sz w:val="22"/>
          </w:rPr>
          <w:t>10A.310</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10A.319</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17A.3(1)</w:t>
        </w:r>
      </w:hyperlink>
      <w:r>
        <w:rPr>
          <w:rFonts w:ascii="Times New Roman" w:hAnsi="Times New Roman"/>
          <w:b w:val="false"/>
          <w:i/>
          <w:color w:val="000000"/>
          <w:sz w:val="22"/>
        </w:rPr>
        <w:t>“b.”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0408D</w:t>
      </w:r>
      <w:r>
        <w:rPr>
          <w:rFonts w:ascii="Times New Roman" w:hAnsi="Times New Roman"/>
          <w:b w:val="false"/>
          <w:i w:val="false"/>
          <w:color w:val="000000"/>
          <w:sz w:val="16"/>
        </w:rPr>
        <w:t>, IAB 7/8/26, effective 6/30/26</w:t>
      </w:r>
      <w:r>
        <w:rPr>
          <w:rFonts w:ascii="Times New Roman" w:hAnsi="Times New Roman"/>
          <w:b w:val="false"/>
          <w:i w:val="false"/>
          <w:color w:val="000000"/>
          <w:sz w:val="16"/>
        </w:rPr>
        <w:t>]</w:t>
      </w:r>
    </w:p>
    <w:sectPr>
      <w:footerReference r:id="rId9"/>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876.2506.60.pdf" Type="http://schemas.openxmlformats.org/officeDocument/2006/relationships/hyperlink" Id="rId4"/>
    <Relationship TargetMode="External" Target="https://www.legis.iowa.gov/docs/iac/rule/876.2506.60.pdf" Type="http://schemas.openxmlformats.org/officeDocument/2006/relationships/hyperlink" Id="rId5"/>
    <Relationship TargetMode="External" Target="https://www.legis.iowa.gov/docs/ico/chapter/10A.310.pdf" Type="http://schemas.openxmlformats.org/officeDocument/2006/relationships/hyperlink" Id="rId6"/>
    <Relationship TargetMode="External" Target="https://www.legis.iowa.gov/docs/ico/chapter/10A.319.pdf" Type="http://schemas.openxmlformats.org/officeDocument/2006/relationships/hyperlink" Id="rId7"/>
    <Relationship TargetMode="External" Target="https://www.legis.iowa.gov/docs/ico/chapter/17A.3.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