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876—2506.59</w:t>
      </w:r>
      <w:r>
        <w:rPr>
          <w:rFonts w:ascii="Times New Roman" w:hAnsi="Times New Roman"/>
          <w:b/>
          <w:i w:val="false"/>
          <w:color w:val="000000"/>
          <w:sz w:val="22"/>
        </w:rPr>
        <w:t xml:space="preserve">(10A) </w:t>
      </w:r>
      <w:r>
        <w:rPr>
          <w:rFonts w:ascii="Times New Roman" w:hAnsi="Times New Roman"/>
          <w:b/>
          <w:i w:val="false"/>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2506.59(1)</w:t>
      </w:r>
      <w:r>
        <w:rPr>
          <w:rFonts w:ascii="Times New Roman" w:hAnsi="Times New Roman"/>
          <w:b w:val="false"/>
          <w:i w:val="false"/>
          <w:color w:val="000000"/>
          <w:sz w:val="22"/>
        </w:rPr>
        <w:t> </w:t>
      </w:r>
      <w:r>
        <w:rPr>
          <w:rFonts w:ascii="Times New Roman" w:hAnsi="Times New Roman"/>
          <w:b w:val="false"/>
          <w:i w:val="false"/>
          <w:color w:val="000000"/>
          <w:sz w:val="22"/>
        </w:rPr>
        <w:t>Costs taxed by the workers’ compensation commissioner or a deputy workers’ compensation commissioner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of a certified shorthand reporter or presence of mechanical means at hearings and evidential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Transcription costs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service of the original notice and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Witness fees and expenses as provided by Iowa Code sections </w:t>
      </w:r>
      <w:hyperlink r:id="rId4">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doctors’ and practitioners’ deposition testimony, provided that said costs do not exceed the amounts provided by Iowa Code sections </w:t>
      </w:r>
      <w:hyperlink r:id="rId6">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obtaining no more than two doctors’ or practitioners’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Filing fees when appropriate, including convenience fees incurred by using the WCES payment gateway;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Costs of persons reviewing health service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2506.59(2)</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service of notice and subpoenas shall be paid initially to the serving person or agency by the party utilizing the service. Expenses and fees of witnesses or of obtaining doctors’ or practitioners’ reports initially shall be paid to the witnesses, doctors or practitioners by the party on whose behalf the witness is called or by whom the report is requested. Witness fees shall be paid in accordance with Iowa Code section </w:t>
      </w:r>
      <w:hyperlink r:id="rId8">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Proof of payment of any cost shall be filed with the workers’ compensation commissioner before costs are taxed. The party initially paying the expense shall be reimbursed by the party taxed with the cost. If the expense is unpaid, it shall be paid by the party taxed with the cost. Costs are to be assessed at the discretion of the deputy workers’ compensation commissioner or workers’ compensation commissioner hearing the case unless otherwise required by the Iowa Rules of Civil Procedure governing discovery.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10A.328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22.69.pdf" Type="http://schemas.openxmlformats.org/officeDocument/2006/relationships/hyperlink" Id="rId4"/>
    <Relationship TargetMode="External" Target="https://www.legis.iowa.gov/docs/ico/chapter/622.72.pdf" Type="http://schemas.openxmlformats.org/officeDocument/2006/relationships/hyperlink" Id="rId5"/>
    <Relationship TargetMode="External" Target="https://www.legis.iowa.gov/docs/ico/chapter/622.69.pdf" Type="http://schemas.openxmlformats.org/officeDocument/2006/relationships/hyperlink" Id="rId6"/>
    <Relationship TargetMode="External" Target="https://www.legis.iowa.gov/docs/ico/chapter/622.72.pdf" Type="http://schemas.openxmlformats.org/officeDocument/2006/relationships/hyperlink" Id="rId7"/>
    <Relationship TargetMode="External" Target="https://www.legis.iowa.gov/docs/ico/chapter/622.74.pdf" Type="http://schemas.openxmlformats.org/officeDocument/2006/relationships/hyperlink" Id="rId8"/>
    <Relationship TargetMode="External" Target="https://www.legis.iowa.gov/docs/ico/chapter/10A.32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