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876—2506.58</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Recording of proceedings. </w:t>
      </w:r>
      <w:r>
        <w:rPr>
          <w:rFonts w:ascii="Times New Roman" w:hAnsi="Times New Roman"/>
          <w:b w:val="false"/>
          <w:i w:val="false"/>
          <w:color w:val="000000"/>
          <w:sz w:val="22"/>
        </w:rPr>
        <w:t>The workers’ compensation commissioner may arrange for the attendance of a certified shorthand reporter or mechanical means to record proceedings in contested cases. The workers’ compensation commissioner may require a defendant employer or on appeal to the workers’ compensation commissioner, an appellant, to arrange for the attendance of a certified shorthand reporter or adequate mechanical means of recording the proceedings. The charges for attendance shall be paid initially to the certified shorthand reporter or service by the defendant employer or, on an appeal to the workers’ compensation commissioner, the appellant. The charges shall be taxed as costs. The party initially paying the expense shall be reimbursed by the party taxed with the cost. If the expense is unpaid, it shall be paid by the party taxed with the cost.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10A.320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2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