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876—2506.57</w:t>
      </w:r>
      <w:r>
        <w:rPr>
          <w:rFonts w:ascii="Times New Roman" w:hAnsi="Times New Roman"/>
          <w:b/>
          <w:i w:val="false"/>
          <w:color w:val="000000"/>
          <w:sz w:val="22"/>
        </w:rPr>
        <w:t xml:space="preserve">(10A,17A) </w:t>
      </w:r>
      <w:r>
        <w:rPr>
          <w:rFonts w:ascii="Times New Roman" w:hAnsi="Times New Roman"/>
          <w:b/>
          <w:i w:val="false"/>
          <w:color w:val="000000"/>
          <w:sz w:val="22"/>
        </w:rPr>
        <w:t xml:space="preserve">Transcript on appeal or review. </w:t>
      </w:r>
      <w:r>
        <w:rPr>
          <w:rFonts w:ascii="Times New Roman" w:hAnsi="Times New Roman"/>
          <w:b w:val="false"/>
          <w:i w:val="false"/>
          <w:color w:val="000000"/>
          <w:sz w:val="22"/>
        </w:rPr>
        <w:t xml:space="preserve">When an appeal to or a review on a motion of the workers’ compensation commissioner is taken pursuant to rule </w:t>
      </w:r>
      <w:hyperlink r:id="rId4">
        <w:r>
          <w:rPr>
            <w:rStyle w:val="Hyperlink"/>
            <w:rFonts w:ascii="Times New Roman" w:hAnsi="Times New Roman"/>
            <w:b w:val="false"/>
            <w:i w:val="false"/>
            <w:color w:val="000000"/>
            <w:sz w:val="22"/>
          </w:rPr>
          <w:t>876—2506.54</w:t>
        </w:r>
      </w:hyperlink>
      <w:r>
        <w:rPr>
          <w:rFonts w:ascii="Times New Roman" w:hAnsi="Times New Roman"/>
          <w:b w:val="false"/>
          <w:i w:val="false"/>
          <w:color w:val="000000"/>
          <w:sz w:val="22"/>
        </w:rPr>
        <w:t xml:space="preserve">(10A,17A) or </w:t>
      </w:r>
      <w:hyperlink r:id="rId5">
        <w:r>
          <w:rPr>
            <w:rStyle w:val="Hyperlink"/>
            <w:rFonts w:ascii="Times New Roman" w:hAnsi="Times New Roman"/>
            <w:b w:val="false"/>
            <w:i w:val="false"/>
            <w:color w:val="000000"/>
            <w:sz w:val="22"/>
          </w:rPr>
          <w:t>876—2506.56</w:t>
        </w:r>
      </w:hyperlink>
      <w:r>
        <w:rPr>
          <w:rFonts w:ascii="Times New Roman" w:hAnsi="Times New Roman"/>
          <w:b w:val="false"/>
          <w:i w:val="false"/>
          <w:color w:val="000000"/>
          <w:sz w:val="22"/>
        </w:rPr>
        <w:t>(10A,17A), a transcript of the proceedings before the workers’ compensation commissioner shall be filed with the workers’ compensation commissioner within 30 days after the notice of the appeal is filed with the workers’ compensation commissioner. The appealing party shall bear the initial cost of transcription on appeal and shall pay the certified shorthand reporter or service for the transcript. In the event there is a cross-appeal, the appellant and cross-appellant shall share the cost of the transcript. In the event the cost of the transcript has been initially borne by a nonappealing party prior to appeal, the nonappealing party is entitled to reimbursement within 30 days after serving on the appealing party proof of the cost of the transcript. If not so reimbursed, the appeal may be dismissed.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10A.320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10A.328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54.pdf" Type="http://schemas.openxmlformats.org/officeDocument/2006/relationships/hyperlink" Id="rId4"/>
    <Relationship TargetMode="External" Target="https://www.legis.iowa.gov/docs/iac/rule/876.2506.56.pdf" Type="http://schemas.openxmlformats.org/officeDocument/2006/relationships/hyperlink" Id="rId5"/>
    <Relationship TargetMode="External" Target="https://www.legis.iowa.gov/docs/ico/chapter/10A.320.pdf" Type="http://schemas.openxmlformats.org/officeDocument/2006/relationships/hyperlink" Id="rId6"/>
    <Relationship TargetMode="External" Target="https://www.legis.iowa.gov/docs/ico/chapter/10A.321.pdf" Type="http://schemas.openxmlformats.org/officeDocument/2006/relationships/hyperlink" Id="rId7"/>
    <Relationship TargetMode="External" Target="https://www.legis.iowa.gov/docs/ico/chapter/10A.328.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co/chapter/17A.1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