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876—2506.56</w:t>
      </w:r>
      <w:r>
        <w:rPr>
          <w:rFonts w:ascii="Times New Roman" w:hAnsi="Times New Roman"/>
          <w:b/>
          <w:i w:val="false"/>
          <w:color w:val="000000"/>
          <w:sz w:val="22"/>
        </w:rPr>
        <w:t xml:space="preserve">(10A,17A) </w:t>
      </w:r>
      <w:r>
        <w:rPr>
          <w:rFonts w:ascii="Times New Roman" w:hAnsi="Times New Roman"/>
          <w:b/>
          <w:i w:val="false"/>
          <w:color w:val="000000"/>
          <w:sz w:val="22"/>
        </w:rPr>
        <w:t xml:space="preserve">Review upon motion. </w:t>
      </w:r>
      <w:r>
        <w:rPr>
          <w:rFonts w:ascii="Times New Roman" w:hAnsi="Times New Roman"/>
          <w:b w:val="false"/>
          <w:i w:val="false"/>
          <w:color w:val="000000"/>
          <w:sz w:val="22"/>
        </w:rPr>
        <w:t xml:space="preserve">Except as provided in rule </w:t>
      </w:r>
      <w:hyperlink r:id="rId4">
        <w:r>
          <w:rPr>
            <w:rStyle w:val="Hyperlink"/>
            <w:rFonts w:ascii="Times New Roman" w:hAnsi="Times New Roman"/>
            <w:b w:val="false"/>
            <w:i w:val="false"/>
            <w:color w:val="000000"/>
            <w:sz w:val="22"/>
          </w:rPr>
          <w:t>876—2506.53</w:t>
        </w:r>
      </w:hyperlink>
      <w:r>
        <w:rPr>
          <w:rFonts w:ascii="Times New Roman" w:hAnsi="Times New Roman"/>
          <w:b w:val="false"/>
          <w:i w:val="false"/>
          <w:color w:val="000000"/>
          <w:sz w:val="22"/>
        </w:rPr>
        <w:t xml:space="preserve">(10A,17A), the workers’ compensation commissioner may review the decision, order or ruling of a deputy workers’ compensation commissioner in any contested case upon the workers’ compensation commissioner’s own motion. Except as provided in rule </w:t>
      </w:r>
      <w:hyperlink r:id="rId5">
        <w:r>
          <w:rPr>
            <w:rStyle w:val="Hyperlink"/>
            <w:rFonts w:ascii="Times New Roman" w:hAnsi="Times New Roman"/>
            <w:b w:val="false"/>
            <w:i w:val="false"/>
            <w:color w:val="000000"/>
            <w:sz w:val="22"/>
          </w:rPr>
          <w:t>876—2506.53</w:t>
        </w:r>
      </w:hyperlink>
      <w:r>
        <w:rPr>
          <w:rFonts w:ascii="Times New Roman" w:hAnsi="Times New Roman"/>
          <w:b w:val="false"/>
          <w:i w:val="false"/>
          <w:color w:val="000000"/>
          <w:sz w:val="22"/>
        </w:rPr>
        <w:t>(10A,17A), the motion to review a decision, order or ruling in all contested cases must be filed within 20 days of the filing of the decision, order or ruling. The workers’ compensation commissioner shall specify in a notice filed in WCES or mailed to the parties by certified mail, return receipt requested, on the date of filing of the motion the issues to be reviewed and the additional evidence, if any, to be obtained by the parties. The hearing under this rule shall be heard in Polk County or in any locality designated by the workers’ compensation commissioner.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53.pdf" Type="http://schemas.openxmlformats.org/officeDocument/2006/relationships/hyperlink" Id="rId4"/>
    <Relationship TargetMode="External" Target="https://www.legis.iowa.gov/docs/iac/rule/876.2506.53.pdf" Type="http://schemas.openxmlformats.org/officeDocument/2006/relationships/hyperlink" Id="rId5"/>
    <Relationship TargetMode="External" Target="https://www.legis.iowa.gov/docs/ico/chapter/10A.321.pdf" Type="http://schemas.openxmlformats.org/officeDocument/2006/relationships/hyperlink" Id="rId6"/>
    <Relationship TargetMode="External" Target="https://www.legis.iowa.gov/docs/ico/chapter/17A.1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