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876—2506.52</w:t>
      </w:r>
      <w:r>
        <w:rPr>
          <w:rFonts w:ascii="Times New Roman" w:hAnsi="Times New Roman"/>
          <w:b/>
          <w:i w:val="false"/>
          <w:color w:val="000000"/>
          <w:sz w:val="22"/>
        </w:rPr>
        <w:t xml:space="preserve">(10A,17A,85,85A,85B) </w:t>
      </w:r>
      <w:r>
        <w:rPr>
          <w:rFonts w:ascii="Times New Roman" w:hAnsi="Times New Roman"/>
          <w:b/>
          <w:i w:val="false"/>
          <w:color w:val="000000"/>
          <w:sz w:val="22"/>
        </w:rPr>
        <w:t xml:space="preserve">Rehearing. </w:t>
      </w:r>
      <w:r>
        <w:rPr>
          <w:rFonts w:ascii="Times New Roman" w:hAnsi="Times New Roman"/>
          <w:b w:val="false"/>
          <w:i w:val="false"/>
          <w:color w:val="000000"/>
          <w:sz w:val="22"/>
        </w:rPr>
        <w:t>Any party may file an application for rehearing of a proposed decision in any contested case by a deputy workers’ compensation commissioner or a decision in any contested case by the workers’ compensation commissioner within 20 days after the issuance of the decision. If a party has been allowed to file not using WCES or a party to the claim is not in WCES, a copy of such application shall be timely mailed by the applicant to all parties of record not joining therein. An application for rehearing shall be deemed denied unless the deputy commissioner or workers’ compensation commissioner rendering the decision grants the application within 20 days after its filing. For purposes of this rule, motions or requests for reconsideration or new trial or retrial or any reexamination of any decision, ruling, or order shall be treated the same as an application for rehearing.</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85.pdf" Type="http://schemas.openxmlformats.org/officeDocument/2006/relationships/hyperlink" Id="rId6"/>
    <Relationship TargetMode="External" Target="https://www.legis.iowa.gov/docs/ico/chapter/85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