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876—2506.51</w:t>
      </w:r>
      <w:r>
        <w:rPr>
          <w:rFonts w:ascii="Times New Roman" w:hAnsi="Times New Roman"/>
          <w:b/>
          <w:i w:val="false"/>
          <w:color w:val="000000"/>
          <w:sz w:val="22"/>
        </w:rPr>
        <w:t xml:space="preserve">(10A) </w:t>
      </w:r>
      <w:r>
        <w:rPr>
          <w:rFonts w:ascii="Times New Roman" w:hAnsi="Times New Roman"/>
          <w:b/>
          <w:i w:val="false"/>
          <w:color w:val="000000"/>
          <w:sz w:val="22"/>
        </w:rPr>
        <w:t xml:space="preserve">Assignment for hearing. </w:t>
      </w:r>
      <w:r>
        <w:rPr>
          <w:rFonts w:ascii="Times New Roman" w:hAnsi="Times New Roman"/>
          <w:b w:val="false"/>
          <w:i w:val="false"/>
          <w:color w:val="000000"/>
          <w:sz w:val="22"/>
        </w:rPr>
        <w:t>Contested cases shall be set for hearing within the discretion of the workers’ compensation commissioner as soon as practicable after the parties have had adequate opportunity to prepare for hearing. A party may request in writing that no hearing in a contested case be held until such time as specified matters have been accomplished or specified events have occurred. Continuances of hearings in contested cases shall be granted only by the workers’ compensation commissioner or the commissioner’s designee. Continuances are governed by Iowa Rules of Civil Procedure 1.910 through 1.912. Requests for continuance shall also state in detail the reasons for the request and whether the opposing party accedes to the request. Defendants shall promptly notify the workers’ compensation commissioner of settlements.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310.pdf" Type="http://schemas.openxmlformats.org/officeDocument/2006/relationships/hyperlink" Id="rId4"/>
    <Relationship TargetMode="External" Target="https://www.legis.iowa.gov/docs/ico/chapter/10A.31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