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876—2506.50</w:t>
      </w:r>
      <w:r>
        <w:rPr>
          <w:rFonts w:ascii="Times New Roman" w:hAnsi="Times New Roman"/>
          <w:b/>
          <w:i w:val="false"/>
          <w:color w:val="000000"/>
          <w:sz w:val="22"/>
        </w:rPr>
        <w:t xml:space="preserve">(10A) </w:t>
      </w:r>
      <w:r>
        <w:rPr>
          <w:rFonts w:ascii="Times New Roman" w:hAnsi="Times New Roman"/>
          <w:b/>
          <w:i w:val="false"/>
          <w:color w:val="000000"/>
          <w:sz w:val="22"/>
        </w:rPr>
        <w:t xml:space="preserve">Prehearing conference record. </w:t>
      </w:r>
      <w:r>
        <w:rPr>
          <w:rFonts w:ascii="Times New Roman" w:hAnsi="Times New Roman"/>
          <w:b w:val="false"/>
          <w:i w:val="false"/>
          <w:color w:val="000000"/>
          <w:sz w:val="22"/>
        </w:rPr>
        <w:t>At the request of any attorney in the case, or at the discretion of a deputy workers’ compensation commissioner or the workers’ compensation commissioner, the entire prehearing conference or any designated part thereof shall be recorded and the cost of the reporter shall be assessed to the requesting party or, if directed by the workers’ compensation commissioner or deputy workers’ compensation commissioner, assessed as costs.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318.pdf" Type="http://schemas.openxmlformats.org/officeDocument/2006/relationships/hyperlink" Id="rId4"/>
    <Relationship TargetMode="External" Target="https://www.legis.iowa.gov/docs/ico/chapter/10A.31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