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876—2506.48</w:t>
      </w:r>
      <w:r>
        <w:rPr>
          <w:rFonts w:ascii="Times New Roman" w:hAnsi="Times New Roman"/>
          <w:b/>
          <w:i w:val="false"/>
          <w:color w:val="000000"/>
          <w:sz w:val="22"/>
        </w:rPr>
        <w:t xml:space="preserve">(10A) </w:t>
      </w:r>
      <w:r>
        <w:rPr>
          <w:rFonts w:ascii="Times New Roman" w:hAnsi="Times New Roman"/>
          <w:b/>
          <w:i w:val="false"/>
          <w:color w:val="000000"/>
          <w:sz w:val="22"/>
        </w:rPr>
        <w:t xml:space="preserve">Prehearing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2506.48(1)</w:t>
      </w:r>
      <w:r>
        <w:rPr>
          <w:rFonts w:ascii="Times New Roman" w:hAnsi="Times New Roman"/>
          <w:b w:val="false"/>
          <w:i w:val="false"/>
          <w:color w:val="000000"/>
          <w:sz w:val="22"/>
        </w:rPr>
        <w:t> </w:t>
      </w:r>
      <w:r>
        <w:rPr>
          <w:rFonts w:ascii="Times New Roman" w:hAnsi="Times New Roman"/>
          <w:b w:val="false"/>
          <w:i w:val="false"/>
          <w:color w:val="000000"/>
          <w:sz w:val="22"/>
        </w:rPr>
        <w:t>Prehearing procedure in contested cases shall be administered in accordance with these rules and the orders issued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2506.48(2)</w:t>
      </w:r>
      <w:r>
        <w:rPr>
          <w:rFonts w:ascii="Times New Roman" w:hAnsi="Times New Roman"/>
          <w:b w:val="false"/>
          <w:i w:val="false"/>
          <w:color w:val="000000"/>
          <w:sz w:val="22"/>
        </w:rPr>
        <w:t> </w:t>
      </w:r>
      <w:r>
        <w:rPr>
          <w:rFonts w:ascii="Times New Roman" w:hAnsi="Times New Roman"/>
          <w:b w:val="false"/>
          <w:i w:val="false"/>
          <w:color w:val="000000"/>
          <w:sz w:val="22"/>
        </w:rPr>
        <w:t>Counsel of record and pro se litigants have a duty to exercise reasonable diligence to bring the contested case to hearing at the earliest reasonable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time limits govern prehearing procedure, completion of discovery and case management in contested cases, except proceedings under rules </w:t>
      </w:r>
      <w:hyperlink r:id="rId4">
        <w:r>
          <w:rPr>
            <w:rStyle w:val="Hyperlink"/>
            <w:rFonts w:ascii="Times New Roman" w:hAnsi="Times New Roman"/>
            <w:b w:val="false"/>
            <w:i w:val="false"/>
            <w:color w:val="000000"/>
            <w:sz w:val="22"/>
          </w:rPr>
          <w:t>876—2506.64</w:t>
        </w:r>
      </w:hyperlink>
      <w:r>
        <w:rPr>
          <w:rFonts w:ascii="Times New Roman" w:hAnsi="Times New Roman"/>
          <w:b w:val="false"/>
          <w:i w:val="false"/>
          <w:color w:val="000000"/>
          <w:sz w:val="22"/>
        </w:rPr>
        <w:t xml:space="preserve">(10A,17A,85) and </w:t>
      </w:r>
      <w:hyperlink r:id="rId5">
        <w:r>
          <w:rPr>
            <w:rStyle w:val="Hyperlink"/>
            <w:rFonts w:ascii="Times New Roman" w:hAnsi="Times New Roman"/>
            <w:b w:val="false"/>
            <w:i w:val="false"/>
            <w:color w:val="000000"/>
            <w:sz w:val="22"/>
          </w:rPr>
          <w:t>876—2506.65</w:t>
        </w:r>
      </w:hyperlink>
      <w:r>
        <w:rPr>
          <w:rFonts w:ascii="Times New Roman" w:hAnsi="Times New Roman"/>
          <w:b w:val="false"/>
          <w:i w:val="false"/>
          <w:color w:val="000000"/>
          <w:sz w:val="22"/>
        </w:rPr>
        <w:t>(10A,17A,85) and except when otherwise ordered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120 days, but not less than 60 days, following the filing of a petition, the counsel of record for all parties and all pro se litigants shall utilize WCES scheduling procedures to request an available hearing time slot consistent with the presiding deputy commissioner’s hearing schedule. Claimant has primary responsibility for initiating the contact. The parties shall identify the case by file number and the names of the parties and request that the hearing be set at a specific date, place and time that is shown to be available on the hearing scheduler published on the division’s website. Primary and backup times must be requested for hearings in venues other than Des Moines. When the contact is made by email, a copy of the request shall be sent to each opposing party, and the hearing administrator will reply indicating whether or not the case is assigned at the time requested. If a request is denied, the parties shall continue to contact the hearing administrator by telephone or email until the case is scheduled or a prehearing conference is ordered. A joint scheduling contact may be initiated by any party at any other time agreeable to the parties. If more than 120 days have elapsed since the petition was filed, any party may move to schedule the hearing at a particular date, time and place that is available, and the hearing administrator may assign the case for hearing at that date, time and place. The hearing date shall be within 12 months following the date the petition was filed or as soon thereafter as reasonably practicable as determined by the hearing administrator. If the parties fail to schedule the hearing with the hearing administrator, the case will be scheduled at the discretion of the hearing administrator without prior notice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who intends to introduce evidence from an expert witness, including a rebuttal expert witness, shall certify to all other parties the expert’s name, subject matter of expertise, qualifications, and a summary of the expert’s opinions within the following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Claimant—120 days before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Employer/second injury fund of Iowa—90 days before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Rebuttal—60 days before hearing.</w:t>
      </w:r>
    </w:p>
    <w:p>
      <w:pPr>
        <w:spacing w:before="0" w:after="0"/>
        <w:ind w:left="120"/>
        <w:jc w:val="both"/>
      </w:pPr>
      <w:r>
        <w:rPr>
          <w:rFonts w:ascii="Times New Roman" w:hAnsi="Times New Roman"/>
          <w:b w:val="false"/>
          <w:i w:val="false"/>
          <w:color w:val="000000"/>
          <w:sz w:val="22"/>
        </w:rPr>
        <w:t xml:space="preserve">Certification is not required to introduce evidence from an examining physician pursuant to Iowa Code section </w:t>
      </w:r>
      <w:hyperlink r:id="rId6">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a treating physician, or a vocational consultant if the expert witness is known by all parties to have personally provided services to the claimant and the witness’s reports are served on opposing parties prior to the date when certification is required.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responses must be supplemented as required in Iowa Rules of Civil Procedure </w:t>
      </w:r>
      <w:hyperlink r:id="rId7">
        <w:r>
          <w:rPr>
            <w:rStyle w:val="Hyperlink"/>
            <w:rFonts w:ascii="Times New Roman" w:hAnsi="Times New Roman"/>
            <w:b w:val="false"/>
            <w:i w:val="false"/>
            <w:color w:val="000000"/>
            <w:sz w:val="22"/>
          </w:rPr>
          <w:t>1.503(4)</w:t>
        </w:r>
      </w:hyperlink>
      <w:r>
        <w:rPr>
          <w:rFonts w:ascii="Times New Roman" w:hAnsi="Times New Roman"/>
          <w:b w:val="false"/>
          <w:i w:val="false"/>
          <w:color w:val="000000"/>
          <w:sz w:val="22"/>
        </w:rPr>
        <w:t xml:space="preserve"> and 1.508(3) and shall be supplemented within 20 days after a party requests supplementation. All discovery responses, depositions, and reports from independent medical examinations shall be completed and served on opposing counsel and pro se litigants at least 30 days before hearing.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30 days before hearing, counsel of record and pro se litigants shall serve a witness list and exhibit list on all opposing counsel and pro se litigants and exchange all intended exhibits that were not previously required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witness list shall name all persons, except the claimant, who will be called to testify at the hearing or who will be deposed prior to the hearing in lieu of testifying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exhibit list must specifically identify each exhibit in a way that permits the opposing party to recognize the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description for a document should include the document’s date, number of pages and author 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Exhibits that were specifically identified when served pursuant to rule </w:t>
      </w:r>
      <w:hyperlink r:id="rId8">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 xml:space="preserve">(10A) or in a discovery response may be collectively identified by describing the service (e.g., “exhibits described in the notices served pursuant to rule </w:t>
      </w:r>
      <w:hyperlink r:id="rId9">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(10A) on May 7, June 11 and July 9, 2004”). Blanket references, such as “all medical records,” “personnel file” or “records produced during discovery,” do not specifically identify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party may serve a copy of the actual intended exhibits in lieu of an exhibit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Evidentiary depositions pursuant to Iowa Code section </w:t>
      </w:r>
      <w:hyperlink r:id="rId10">
        <w:r>
          <w:rPr>
            <w:rStyle w:val="Hyperlink"/>
            <w:rFonts w:ascii="Times New Roman" w:hAnsi="Times New Roman"/>
            <w:b w:val="false"/>
            <w:i w:val="false"/>
            <w:color w:val="000000"/>
            <w:sz w:val="22"/>
          </w:rPr>
          <w:t>10A.319(2)</w:t>
        </w:r>
      </w:hyperlink>
      <w:r>
        <w:rPr>
          <w:rFonts w:ascii="Times New Roman" w:hAnsi="Times New Roman"/>
          <w:b w:val="false"/>
          <w:i w:val="false"/>
          <w:color w:val="000000"/>
          <w:sz w:val="22"/>
        </w:rPr>
        <w:t xml:space="preserve"> may be taken at any time before the hearing in lieu of the witness testifying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14 days before the hearing, the parties shall file proposed hearing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proposed joint exhibits shall not exceed 100 pages. The proposed claimant’s exhibits shall not exceed 50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defendants’ exhibits shall not exceed 50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commissioner or a deputy workers’ compensation commissioner may, upon a showing of good cause, allow proposed hearing exhibits in excess of the page limits mentioned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evidence is offered at hearing that was not disclosed in the time and manner required by these rules, as altered by order of the workers’ compensation commissioner or a deputy workers’ compensation commissioner or by a written agreement by the parties, the evidence will be excluded unless the offering party demonstrates good cause for failure to comply with the rules or order. Sanctions may be imposed pursuant to rule </w:t>
      </w:r>
      <w:hyperlink r:id="rId11">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(10A) in addition to or in lieu of exclusion if exclusion is not an effective remedy for the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2506.48(5)</w:t>
      </w:r>
      <w:r>
        <w:rPr>
          <w:rFonts w:ascii="Times New Roman" w:hAnsi="Times New Roman"/>
          <w:b w:val="false"/>
          <w:i w:val="false"/>
          <w:color w:val="000000"/>
          <w:sz w:val="22"/>
        </w:rPr>
        <w:t> </w:t>
      </w:r>
      <w:r>
        <w:rPr>
          <w:rFonts w:ascii="Times New Roman" w:hAnsi="Times New Roman"/>
          <w:b w:val="false"/>
          <w:i w:val="false"/>
          <w:color w:val="000000"/>
          <w:sz w:val="22"/>
        </w:rPr>
        <w:t>Counsel and pro se litigants shall prepare a hearing report that defines the claims, defenses, and issues that are to be submitted to the deputy commissioner who presides at the hearing. The hearing report shall be signed by all counsel of record and pro se litigants and submitted to the deputy workers’ compensation commissioner when the hearing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2506.48(6)</w:t>
      </w:r>
      <w:r>
        <w:rPr>
          <w:rFonts w:ascii="Times New Roman" w:hAnsi="Times New Roman"/>
          <w:b w:val="false"/>
          <w:i w:val="false"/>
          <w:color w:val="000000"/>
          <w:sz w:val="22"/>
        </w:rPr>
        <w:t> </w:t>
      </w:r>
      <w:r>
        <w:rPr>
          <w:rFonts w:ascii="Times New Roman" w:hAnsi="Times New Roman"/>
          <w:b w:val="false"/>
          <w:i w:val="false"/>
          <w:color w:val="000000"/>
          <w:sz w:val="22"/>
        </w:rPr>
        <w:t>Jurisdictional deadlines, including but not limited to any applicable statute of limitations, cannot be extended. It is each party’s responsibility to ensure that a document is filed timely to comply with jurisdictional deadlines. A technical failure, including a failure of WCES, will not excuse a failure to comply with a jurisdictional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2506.48(7)</w:t>
      </w:r>
      <w:r>
        <w:rPr>
          <w:rFonts w:ascii="Times New Roman" w:hAnsi="Times New Roman"/>
          <w:b w:val="false"/>
          <w:i w:val="false"/>
          <w:color w:val="000000"/>
          <w:sz w:val="22"/>
        </w:rPr>
        <w:t> </w:t>
      </w:r>
      <w:r>
        <w:rPr>
          <w:rFonts w:ascii="Times New Roman" w:hAnsi="Times New Roman"/>
          <w:b w:val="false"/>
          <w:i w:val="false"/>
          <w:color w:val="000000"/>
          <w:sz w:val="22"/>
        </w:rPr>
        <w:t>A party is not excused from missing a jurisdictional or nonjurisdictional filing deadline because of problems attributable to the party.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64.pdf" Type="http://schemas.openxmlformats.org/officeDocument/2006/relationships/hyperlink" Id="rId4"/>
    <Relationship TargetMode="External" Target="https://www.legis.iowa.gov/docs/iac/rule/876.2506.65.pdf" Type="http://schemas.openxmlformats.org/officeDocument/2006/relationships/hyperlink" Id="rId5"/>
    <Relationship TargetMode="External" Target="https://www.legis.iowa.gov/docs/ico/chapter/85.39.pdf" Type="http://schemas.openxmlformats.org/officeDocument/2006/relationships/hyperlink" Id="rId6"/>
    <Relationship TargetMode="External" Target="https://www.legis.iowa.gov/docs/iac/rule/876.1.503.pdf" Type="http://schemas.openxmlformats.org/officeDocument/2006/relationships/hyperlink" Id="rId7"/>
    <Relationship TargetMode="External" Target="https://www.legis.iowa.gov/docs/iac/rule/876.2506.46.pdf" Type="http://schemas.openxmlformats.org/officeDocument/2006/relationships/hyperlink" Id="rId8"/>
    <Relationship TargetMode="External" Target="https://www.legis.iowa.gov/docs/iac/rule/876.2506.46.pdf" Type="http://schemas.openxmlformats.org/officeDocument/2006/relationships/hyperlink" Id="rId9"/>
    <Relationship TargetMode="External" Target="https://www.legis.iowa.gov/docs/ico/chapter/10A.319.pdf" Type="http://schemas.openxmlformats.org/officeDocument/2006/relationships/hyperlink" Id="rId10"/>
    <Relationship TargetMode="External" Target="https://www.legis.iowa.gov/docs/iac/rule/876.2506.62.pdf" Type="http://schemas.openxmlformats.org/officeDocument/2006/relationships/hyperlink" Id="rId11"/>
    <Relationship TargetMode="External" Target="https://www.legis.iowa.gov/docs/ico/chapter/10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