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876—2506.47</w:t>
      </w:r>
      <w:r>
        <w:rPr>
          <w:rFonts w:ascii="Times New Roman" w:hAnsi="Times New Roman"/>
          <w:b/>
          <w:i w:val="false"/>
          <w:color w:val="000000"/>
          <w:sz w:val="22"/>
        </w:rPr>
        <w:t xml:space="preserve">(10A) </w:t>
      </w:r>
      <w:r>
        <w:rPr>
          <w:rFonts w:ascii="Times New Roman" w:hAnsi="Times New Roman"/>
          <w:b/>
          <w:i w:val="false"/>
          <w:color w:val="000000"/>
          <w:sz w:val="22"/>
        </w:rPr>
        <w:t xml:space="preserve">Medical evidence and discovery. </w:t>
      </w:r>
      <w:r>
        <w:rPr>
          <w:rFonts w:ascii="Times New Roman" w:hAnsi="Times New Roman"/>
          <w:b w:val="false"/>
          <w:i w:val="false"/>
          <w:color w:val="000000"/>
          <w:sz w:val="22"/>
        </w:rPr>
        <w:t xml:space="preserve">Discovery in workers’ compensation proceedings is governed by the rules of civil procedure pursuant to rule </w:t>
      </w:r>
      <w:hyperlink r:id="rId4">
        <w:r>
          <w:rPr>
            <w:rStyle w:val="Hyperlink"/>
            <w:rFonts w:ascii="Times New Roman" w:hAnsi="Times New Roman"/>
            <w:b w:val="false"/>
            <w:i w:val="false"/>
            <w:color w:val="000000"/>
            <w:sz w:val="22"/>
          </w:rPr>
          <w:t>876—2506.61</w:t>
        </w:r>
      </w:hyperlink>
      <w:r>
        <w:rPr>
          <w:rFonts w:ascii="Times New Roman" w:hAnsi="Times New Roman"/>
          <w:b w:val="false"/>
          <w:i w:val="false"/>
          <w:color w:val="000000"/>
          <w:sz w:val="22"/>
        </w:rPr>
        <w:t>(10A,17A). Any relevant medical record or report served upon a party in compliance with these rules prior to any deadline established by order or rule for service of the records and reports shall be admissible as evidence at hearing of the contested case unless otherwise provided by rule. Any party against which a medical record or report may be used shall have the right, at the party’s own initial expense, to cross-examine by deposition the medical practitioner producing the record or report and the deposition shall be admissible as evidence in the contested case.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61.pdf" Type="http://schemas.openxmlformats.org/officeDocument/2006/relationships/hyperlink" Id="rId4"/>
    <Relationship TargetMode="External" Target="https://www.legis.iowa.gov/docs/ico/chapter/10A.310.pdf" Type="http://schemas.openxmlformats.org/officeDocument/2006/relationships/hyperlink" Id="rId5"/>
    <Relationship TargetMode="External" Target="https://www.legis.iowa.gov/docs/ico/chapter/10A.31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