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876—2506.46</w:t>
      </w:r>
      <w:r>
        <w:rPr>
          <w:rFonts w:ascii="Times New Roman" w:hAnsi="Times New Roman"/>
          <w:b/>
          <w:i w:val="false"/>
          <w:color w:val="000000"/>
          <w:sz w:val="22"/>
        </w:rPr>
        <w:t xml:space="preserve">(10A) </w:t>
      </w:r>
      <w:r>
        <w:rPr>
          <w:rFonts w:ascii="Times New Roman" w:hAnsi="Times New Roman"/>
          <w:b/>
          <w:i w:val="false"/>
          <w:color w:val="000000"/>
          <w:sz w:val="22"/>
        </w:rPr>
        <w:t xml:space="preserve">Service of 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2506.46(1)</w:t>
      </w:r>
      <w:r>
        <w:rPr>
          <w:rFonts w:ascii="Times New Roman" w:hAnsi="Times New Roman"/>
          <w:b w:val="false"/>
          <w:i w:val="false"/>
          <w:color w:val="000000"/>
          <w:sz w:val="22"/>
        </w:rPr>
        <w:t> </w:t>
      </w:r>
      <w:r>
        <w:rPr>
          <w:rFonts w:ascii="Times New Roman" w:hAnsi="Times New Roman"/>
          <w:b w:val="false"/>
          <w:i w:val="false"/>
          <w:color w:val="000000"/>
          <w:sz w:val="22"/>
        </w:rPr>
        <w:t>Each party to a contested case shall serve all records received pursuant to a patient’s waiver (Form 14-0043—authorization for release of information regarding claimants seeking workers’ compensation benefits) and medical records and reports concerning the injured worker in the possession of the party upon each opposing party not later than 20 days following filing of an answer or, if not then in possession of a party, within 10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records and reports are records of medical practitioners and institutions concerning the injured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practitioners and institutions include physicians, physician associates, surgeons, osteopathic physicians and surgeons, chiropractors, dentists, nurses, podiatrists, psychiatrists, psychologists, counselors, hospitals, clinics, persons engaged in physical or vocational rehabilitation or evaluation for rehabilitation, and all other practitioners of the healing arts or sciences and all other institutions in which the healing arts or sciences are practiced.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2506.46(2)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party shall serve a notice accompanying the records and reports identifying the records and reports served by the name of the practitioner or institution or other source and date of the records and reports and, if served later than 20 days following filing of the answer, stating the date when the records and reports were received by the party serving them. Pursuant to rule </w:t>
      </w:r>
      <w:hyperlink r:id="rId4">
        <w:r>
          <w:rPr>
            <w:rStyle w:val="Hyperlink"/>
            <w:rFonts w:ascii="Times New Roman" w:hAnsi="Times New Roman"/>
            <w:b w:val="false"/>
            <w:i w:val="false"/>
            <w:color w:val="000000"/>
            <w:sz w:val="22"/>
          </w:rPr>
          <w:t>876—2506.44</w:t>
        </w:r>
      </w:hyperlink>
      <w:r>
        <w:rPr>
          <w:rFonts w:ascii="Times New Roman" w:hAnsi="Times New Roman"/>
          <w:b w:val="false"/>
          <w:i w:val="false"/>
          <w:color w:val="000000"/>
          <w:sz w:val="22"/>
        </w:rPr>
        <w:t>(10A), the notice and records and reports shall not be filed with the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2506.46(3)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failing to comply with the provisions of this rule shall, if the failure is prejudicial to an opposing party, be subject to the provisions of rule </w:t>
      </w:r>
      <w:hyperlink r:id="rId5">
        <w:r>
          <w:rPr>
            <w:rStyle w:val="Hyperlink"/>
            <w:rFonts w:ascii="Times New Roman" w:hAnsi="Times New Roman"/>
            <w:b w:val="false"/>
            <w:i w:val="false"/>
            <w:color w:val="000000"/>
            <w:sz w:val="22"/>
          </w:rPr>
          <w:t>876—2506.62</w:t>
        </w:r>
      </w:hyperlink>
      <w:r>
        <w:rPr>
          <w:rFonts w:ascii="Times New Roman" w:hAnsi="Times New Roman"/>
          <w:b w:val="false"/>
          <w:i w:val="false"/>
          <w:color w:val="000000"/>
          <w:sz w:val="22"/>
        </w:rPr>
        <w:t>(10A). This rule does not require a party to serve any record or report that was previously served by another party in a contested case proceeding. Compliance with this rule does not automatically permit a record or report to be received into evidence if the record or report was not served prior to an applicable deadline established by rule or order for completing discovery or service of exhibits.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44.pdf" Type="http://schemas.openxmlformats.org/officeDocument/2006/relationships/hyperlink" Id="rId4"/>
    <Relationship TargetMode="External" Target="https://www.legis.iowa.gov/docs/iac/rule/876.2506.62.pdf" Type="http://schemas.openxmlformats.org/officeDocument/2006/relationships/hyperlink" Id="rId5"/>
    <Relationship TargetMode="External" Target="https://www.legis.iowa.gov/docs/ico/chapter/10A.310.pdf" Type="http://schemas.openxmlformats.org/officeDocument/2006/relationships/hyperlink" Id="rId6"/>
    <Relationship TargetMode="External" Target="https://www.legis.iowa.gov/docs/ico/chapter/10A.31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