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876—2506.45</w:t>
      </w:r>
      <w:r>
        <w:rPr>
          <w:rFonts w:ascii="Times New Roman" w:hAnsi="Times New Roman"/>
          <w:b/>
          <w:i w:val="false"/>
          <w:color w:val="000000"/>
          <w:sz w:val="22"/>
        </w:rPr>
        <w:t xml:space="preserve">(10A) </w:t>
      </w:r>
      <w:r>
        <w:rPr>
          <w:rFonts w:ascii="Times New Roman" w:hAnsi="Times New Roman"/>
          <w:b/>
          <w:i w:val="false"/>
          <w:color w:val="000000"/>
          <w:sz w:val="22"/>
        </w:rPr>
        <w:t xml:space="preserve">Proof of service. </w:t>
      </w:r>
      <w:r>
        <w:rPr>
          <w:rFonts w:ascii="Times New Roman" w:hAnsi="Times New Roman"/>
          <w:b w:val="false"/>
          <w:i w:val="false"/>
          <w:color w:val="000000"/>
          <w:sz w:val="22"/>
        </w:rPr>
        <w:t xml:space="preserve">Proof of service of all documents and papers to be served on another party under rule </w:t>
      </w:r>
      <w:hyperlink r:id="rId4">
        <w:r>
          <w:rPr>
            <w:rStyle w:val="Hyperlink"/>
            <w:rFonts w:ascii="Times New Roman" w:hAnsi="Times New Roman"/>
            <w:b w:val="false"/>
            <w:i w:val="false"/>
            <w:color w:val="000000"/>
            <w:sz w:val="22"/>
          </w:rPr>
          <w:t>876—2506.42</w:t>
        </w:r>
      </w:hyperlink>
      <w:r>
        <w:rPr>
          <w:rFonts w:ascii="Times New Roman" w:hAnsi="Times New Roman"/>
          <w:b w:val="false"/>
          <w:i w:val="false"/>
          <w:color w:val="000000"/>
          <w:sz w:val="22"/>
        </w:rPr>
        <w:t>(10A,17A) shall be filed with the division of workers’ compensation promptly and, in any event, before action is to be taken thereon by the workers’ compensation commissioner or a deputy workers’ compensation commissioner or any party unless a responsive pleading has been filed. Proof shall be made by filing the document in WCES when another party is registered in WCES for that claim. If a party or a party’s attorney or representative is not in WCES for the claim being contested, the proof shall show the date and manner of service and may be by written acknowledgment of service, by certification of a member of the bar of this state, by affidavit of the person who served the papers, or by any other proof satisfactory to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42.pdf" Type="http://schemas.openxmlformats.org/officeDocument/2006/relationships/hyperlink" Id="rId4"/>
    <Relationship TargetMode="External" Target="https://www.legis.iowa.gov/docs/ico/chapter/10A.31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