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876—2506.44</w:t>
      </w:r>
      <w:r>
        <w:rPr>
          <w:rFonts w:ascii="Times New Roman" w:hAnsi="Times New Roman"/>
          <w:b/>
          <w:i w:val="false"/>
          <w:color w:val="000000"/>
          <w:sz w:val="22"/>
        </w:rPr>
        <w:t xml:space="preserve">(10A) </w:t>
      </w:r>
      <w:r>
        <w:rPr>
          <w:rFonts w:ascii="Times New Roman" w:hAnsi="Times New Roman"/>
          <w:b/>
          <w:i w:val="false"/>
          <w:color w:val="000000"/>
          <w:sz w:val="22"/>
        </w:rPr>
        <w:t xml:space="preserve">Filing of documents and papers. </w:t>
      </w:r>
      <w:r>
        <w:rPr>
          <w:rFonts w:ascii="Times New Roman" w:hAnsi="Times New Roman"/>
          <w:b w:val="false"/>
          <w:i w:val="false"/>
          <w:color w:val="000000"/>
          <w:sz w:val="22"/>
        </w:rPr>
        <w:t xml:space="preserve">All documents and papers required to be served on a party under rule </w:t>
      </w:r>
      <w:hyperlink r:id="rId4">
        <w:r>
          <w:rPr>
            <w:rStyle w:val="Hyperlink"/>
            <w:rFonts w:ascii="Times New Roman" w:hAnsi="Times New Roman"/>
            <w:b w:val="false"/>
            <w:i w:val="false"/>
            <w:color w:val="000000"/>
            <w:sz w:val="22"/>
          </w:rPr>
          <w:t>876—2506.42</w:t>
        </w:r>
      </w:hyperlink>
      <w:r>
        <w:rPr>
          <w:rFonts w:ascii="Times New Roman" w:hAnsi="Times New Roman"/>
          <w:b w:val="false"/>
          <w:i w:val="false"/>
          <w:color w:val="000000"/>
          <w:sz w:val="22"/>
        </w:rPr>
        <w:t xml:space="preserve">(10A,17A) shall be filed with the workers’ compensation commissioner either before service or within a reasonable time thereafter. No deposition, notice of deposition, notice of requests for discovery, notice of responses to requests for discovery, and notice of medical records and reports required to be served by rule </w:t>
      </w:r>
      <w:hyperlink r:id="rId5">
        <w:r>
          <w:rPr>
            <w:rStyle w:val="Hyperlink"/>
            <w:rFonts w:ascii="Times New Roman" w:hAnsi="Times New Roman"/>
            <w:b w:val="false"/>
            <w:i w:val="false"/>
            <w:color w:val="000000"/>
            <w:sz w:val="22"/>
          </w:rPr>
          <w:t>876—2506.46</w:t>
        </w:r>
      </w:hyperlink>
      <w:r>
        <w:rPr>
          <w:rFonts w:ascii="Times New Roman" w:hAnsi="Times New Roman"/>
          <w:b w:val="false"/>
          <w:i w:val="false"/>
          <w:color w:val="000000"/>
          <w:sz w:val="22"/>
        </w:rPr>
        <w:t>(10A) shall be filed with or accepted for filing in WCES unless ordered by the workers’ compensation commissioner or a deputy workers’ compensation commissioner, or its use becomes otherwise necessary in the action, in which case it shall be attached to the relevant motion or response to the motion requiring its use, or unless offered as evidence at hearing of the contested case.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42.pdf" Type="http://schemas.openxmlformats.org/officeDocument/2006/relationships/hyperlink" Id="rId4"/>
    <Relationship TargetMode="External" Target="https://www.legis.iowa.gov/docs/iac/rule/876.2506.46.pdf" Type="http://schemas.openxmlformats.org/officeDocument/2006/relationships/hyperlink" Id="rId5"/>
    <Relationship TargetMode="External" Target="https://www.legis.iowa.gov/docs/ico/chapter/10A.31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