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876—2506.43</w:t>
      </w:r>
      <w:r>
        <w:rPr>
          <w:rFonts w:ascii="Times New Roman" w:hAnsi="Times New Roman"/>
          <w:b/>
          <w:i w:val="false"/>
          <w:color w:val="000000"/>
          <w:sz w:val="22"/>
        </w:rPr>
        <w:t xml:space="preserve">(10A,17A) </w:t>
      </w:r>
      <w:r>
        <w:rPr>
          <w:rFonts w:ascii="Times New Roman" w:hAnsi="Times New Roman"/>
          <w:b/>
          <w:i w:val="false"/>
          <w:color w:val="000000"/>
          <w:sz w:val="22"/>
        </w:rPr>
        <w:t xml:space="preserve">Method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4">
        <w:r>
          <w:rPr>
            <w:rStyle w:val="Hyperlink"/>
            <w:rFonts w:ascii="Times New Roman" w:hAnsi="Times New Roman"/>
            <w:b w:val="false"/>
            <w:i w:val="false"/>
            <w:color w:val="000000"/>
            <w:sz w:val="22"/>
          </w:rPr>
          <w:t>876—2506.36</w:t>
        </w:r>
      </w:hyperlink>
      <w:r>
        <w:rPr>
          <w:rFonts w:ascii="Times New Roman" w:hAnsi="Times New Roman"/>
          <w:b w:val="false"/>
          <w:i w:val="false"/>
          <w:color w:val="000000"/>
          <w:sz w:val="22"/>
        </w:rPr>
        <w:t xml:space="preserve">(10A,17A,85) and </w:t>
      </w:r>
      <w:hyperlink r:id="rId5">
        <w:r>
          <w:rPr>
            <w:rStyle w:val="Hyperlink"/>
            <w:rFonts w:ascii="Times New Roman" w:hAnsi="Times New Roman"/>
            <w:b w:val="false"/>
            <w:i w:val="false"/>
            <w:color w:val="000000"/>
            <w:sz w:val="22"/>
          </w:rPr>
          <w:t>876—2506.37</w:t>
        </w:r>
      </w:hyperlink>
      <w:r>
        <w:rPr>
          <w:rFonts w:ascii="Times New Roman" w:hAnsi="Times New Roman"/>
          <w:b w:val="false"/>
          <w:i w:val="false"/>
          <w:color w:val="000000"/>
          <w:sz w:val="22"/>
        </w:rPr>
        <w:t>(17A,85), service of all documents and papers to be served according to this chapter or otherwise upon a party represented by an attorney shall be made upon the attorney unless service upon the party is ordered by the workers’ compensation commissioner or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2506.43(2)</w:t>
      </w:r>
      <w:r>
        <w:rPr>
          <w:rFonts w:ascii="Times New Roman" w:hAnsi="Times New Roman"/>
          <w:b w:val="false"/>
          <w:i w:val="false"/>
          <w:color w:val="000000"/>
          <w:sz w:val="22"/>
        </w:rPr>
        <w:t> </w:t>
      </w:r>
      <w:r>
        <w:rPr>
          <w:rFonts w:ascii="Times New Roman" w:hAnsi="Times New Roman"/>
          <w:b w:val="false"/>
          <w:i w:val="false"/>
          <w:color w:val="000000"/>
          <w:sz w:val="22"/>
        </w:rPr>
        <w:t>Service upon the attorney or party shall be made using WCES once a party or party’s attorney has registered in WCES for the claim being contested. If a party has been granted a waiver of the mandatory use of WCES or if a party or attorney has not appeared in WCES, service upon the attorney or party shall be made by delivery of a copy or mailing a copy to the last-known address of the attorney or party or, if no address is known, by filing a copy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2506.43(3)</w:t>
      </w:r>
      <w:r>
        <w:rPr>
          <w:rFonts w:ascii="Times New Roman" w:hAnsi="Times New Roman"/>
          <w:b w:val="false"/>
          <w:i w:val="false"/>
          <w:color w:val="000000"/>
          <w:sz w:val="22"/>
        </w:rPr>
        <w:t> </w:t>
      </w:r>
      <w:r>
        <w:rPr>
          <w:rFonts w:ascii="Times New Roman" w:hAnsi="Times New Roman"/>
          <w:b w:val="false"/>
          <w:i w:val="false"/>
          <w:color w:val="000000"/>
          <w:sz w:val="22"/>
        </w:rPr>
        <w:t>Delivery of a copy within this rule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Handing it to the attorney or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Leaving it at the office of the attorney or party’s office or with the person in charge of the office, or if there is no one in charge of the office, leaving it in a conspicuous place in the office, or if the office is closed or the person to be served has no office, leaving it at the person’s dwelling house, or usual place of abode with some person of suitable age and discretion who is residing at the dwelling or abode;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2506.43(4)</w:t>
      </w:r>
      <w:r>
        <w:rPr>
          <w:rFonts w:ascii="Times New Roman" w:hAnsi="Times New Roman"/>
          <w:b w:val="false"/>
          <w:i w:val="false"/>
          <w:color w:val="000000"/>
          <w:sz w:val="22"/>
        </w:rPr>
        <w:t> </w:t>
      </w:r>
      <w:r>
        <w:rPr>
          <w:rFonts w:ascii="Times New Roman" w:hAnsi="Times New Roman"/>
          <w:b w:val="false"/>
          <w:i w:val="false"/>
          <w:color w:val="000000"/>
          <w:sz w:val="22"/>
        </w:rPr>
        <w:t>Service by mail under this rule is complete upon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2506.43(5)</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that are served on a party for discovery and medical evidence under rules </w:t>
      </w:r>
      <w:hyperlink r:id="rId6">
        <w:r>
          <w:rPr>
            <w:rStyle w:val="Hyperlink"/>
            <w:rFonts w:ascii="Times New Roman" w:hAnsi="Times New Roman"/>
            <w:b w:val="false"/>
            <w:i w:val="false"/>
            <w:color w:val="000000"/>
            <w:sz w:val="22"/>
          </w:rPr>
          <w:t>876—2506.44</w:t>
        </w:r>
      </w:hyperlink>
      <w:r>
        <w:rPr>
          <w:rFonts w:ascii="Times New Roman" w:hAnsi="Times New Roman"/>
          <w:b w:val="false"/>
          <w:i w:val="false"/>
          <w:color w:val="000000"/>
          <w:sz w:val="22"/>
        </w:rPr>
        <w:t xml:space="preserve">(10A) and </w:t>
      </w:r>
      <w:hyperlink r:id="rId7">
        <w:r>
          <w:rPr>
            <w:rStyle w:val="Hyperlink"/>
            <w:rFonts w:ascii="Times New Roman" w:hAnsi="Times New Roman"/>
            <w:b w:val="false"/>
            <w:i w:val="false"/>
            <w:color w:val="000000"/>
            <w:sz w:val="22"/>
          </w:rPr>
          <w:t>876—2506.47</w:t>
        </w:r>
      </w:hyperlink>
      <w:r>
        <w:rPr>
          <w:rFonts w:ascii="Times New Roman" w:hAnsi="Times New Roman"/>
          <w:b w:val="false"/>
          <w:i w:val="false"/>
          <w:color w:val="000000"/>
          <w:sz w:val="22"/>
        </w:rPr>
        <w:t>(10A) shall not be filed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2506.43(6)</w:t>
      </w:r>
      <w:r>
        <w:rPr>
          <w:rFonts w:ascii="Times New Roman" w:hAnsi="Times New Roman"/>
          <w:b w:val="false"/>
          <w:i w:val="false"/>
          <w:color w:val="000000"/>
          <w:sz w:val="22"/>
        </w:rPr>
        <w:t> </w:t>
      </w:r>
      <w:r>
        <w:rPr>
          <w:rFonts w:ascii="Times New Roman" w:hAnsi="Times New Roman"/>
          <w:b w:val="false"/>
          <w:i w:val="false"/>
          <w:color w:val="000000"/>
          <w:sz w:val="22"/>
        </w:rPr>
        <w:t>No documents or papers referred to in this rule shall be served by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36.pdf" Type="http://schemas.openxmlformats.org/officeDocument/2006/relationships/hyperlink" Id="rId4"/>
    <Relationship TargetMode="External" Target="https://www.legis.iowa.gov/docs/iac/rule/876.2506.37.pdf" Type="http://schemas.openxmlformats.org/officeDocument/2006/relationships/hyperlink" Id="rId5"/>
    <Relationship TargetMode="External" Target="https://www.legis.iowa.gov/docs/iac/rule/876.2506.44.pdf" Type="http://schemas.openxmlformats.org/officeDocument/2006/relationships/hyperlink" Id="rId6"/>
    <Relationship TargetMode="External" Target="https://www.legis.iowa.gov/docs/iac/rule/876.2506.47.pdf" Type="http://schemas.openxmlformats.org/officeDocument/2006/relationships/hyperlink" Id="rId7"/>
    <Relationship TargetMode="External" Target="https://www.legis.iowa.gov/docs/ico/chapter/10A.319.pdf" Type="http://schemas.openxmlformats.org/officeDocument/2006/relationships/hyperlink" Id="rId8"/>
    <Relationship TargetMode="External" Target="https://www.legis.iowa.gov/docs/ico/chapter/17A.1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