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876—2506.42</w:t>
      </w:r>
      <w:r>
        <w:rPr>
          <w:rFonts w:ascii="Times New Roman" w:hAnsi="Times New Roman"/>
          <w:b/>
          <w:i w:val="false"/>
          <w:color w:val="000000"/>
          <w:sz w:val="22"/>
        </w:rPr>
        <w:t xml:space="preserve">(10A,17A) </w:t>
      </w:r>
      <w:r>
        <w:rPr>
          <w:rFonts w:ascii="Times New Roman" w:hAnsi="Times New Roman"/>
          <w:b/>
          <w:i w:val="false"/>
          <w:color w:val="000000"/>
          <w:sz w:val="22"/>
        </w:rPr>
        <w:t xml:space="preserve">Service on parties. </w:t>
      </w:r>
      <w:r>
        <w:rPr>
          <w:rFonts w:ascii="Times New Roman" w:hAnsi="Times New Roman"/>
          <w:b w:val="false"/>
          <w:i w:val="false"/>
          <w:color w:val="000000"/>
          <w:sz w:val="22"/>
        </w:rPr>
        <w:t xml:space="preserve">Any document or paper not delivered under rules </w:t>
      </w:r>
      <w:hyperlink r:id="rId4">
        <w:r>
          <w:rPr>
            <w:rStyle w:val="Hyperlink"/>
            <w:rFonts w:ascii="Times New Roman" w:hAnsi="Times New Roman"/>
            <w:b w:val="false"/>
            <w:i w:val="false"/>
            <w:color w:val="000000"/>
            <w:sz w:val="22"/>
          </w:rPr>
          <w:t>876—2506.36</w:t>
        </w:r>
      </w:hyperlink>
      <w:r>
        <w:rPr>
          <w:rFonts w:ascii="Times New Roman" w:hAnsi="Times New Roman"/>
          <w:b w:val="false"/>
          <w:i w:val="false"/>
          <w:color w:val="000000"/>
          <w:sz w:val="22"/>
        </w:rPr>
        <w:t xml:space="preserve">(10A,17A,85) and </w:t>
      </w:r>
      <w:hyperlink r:id="rId5">
        <w:r>
          <w:rPr>
            <w:rStyle w:val="Hyperlink"/>
            <w:rFonts w:ascii="Times New Roman" w:hAnsi="Times New Roman"/>
            <w:b w:val="false"/>
            <w:i w:val="false"/>
            <w:color w:val="000000"/>
            <w:sz w:val="22"/>
          </w:rPr>
          <w:t>876—2506.37</w:t>
        </w:r>
      </w:hyperlink>
      <w:r>
        <w:rPr>
          <w:rFonts w:ascii="Times New Roman" w:hAnsi="Times New Roman"/>
          <w:b w:val="false"/>
          <w:i w:val="false"/>
          <w:color w:val="000000"/>
          <w:sz w:val="22"/>
        </w:rPr>
        <w:t xml:space="preserve">(17A,85) which is to be filed and seeks relief from or action against another party, or which has any significant effect on any contested case, shall be served on each party of record under rule </w:t>
      </w:r>
      <w:hyperlink r:id="rId6">
        <w:r>
          <w:rPr>
            <w:rStyle w:val="Hyperlink"/>
            <w:rFonts w:ascii="Times New Roman" w:hAnsi="Times New Roman"/>
            <w:b w:val="false"/>
            <w:i w:val="false"/>
            <w:color w:val="000000"/>
            <w:sz w:val="22"/>
          </w:rPr>
          <w:t>876—2506.43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36.pdf" Type="http://schemas.openxmlformats.org/officeDocument/2006/relationships/hyperlink" Id="rId4"/>
    <Relationship TargetMode="External" Target="https://www.legis.iowa.gov/docs/iac/rule/876.2506.37.pdf" Type="http://schemas.openxmlformats.org/officeDocument/2006/relationships/hyperlink" Id="rId5"/>
    <Relationship TargetMode="External" Target="https://www.legis.iowa.gov/docs/iac/rule/876.2506.43.pdf" Type="http://schemas.openxmlformats.org/officeDocument/2006/relationships/hyperlink" Id="rId6"/>
    <Relationship TargetMode="External" Target="https://www.legis.iowa.gov/docs/ico/chapter/10A.319.pdf" Type="http://schemas.openxmlformats.org/officeDocument/2006/relationships/hyperlink" Id="rId7"/>
    <Relationship TargetMode="External" Target="https://www.legis.iowa.gov/docs/ico/chapter/17A.1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