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876—2506.41</w:t>
      </w:r>
      <w:r>
        <w:rPr>
          <w:rFonts w:ascii="Times New Roman" w:hAnsi="Times New Roman"/>
          <w:b/>
          <w:i w:val="false"/>
          <w:color w:val="000000"/>
          <w:sz w:val="22"/>
        </w:rPr>
        <w:t xml:space="preserve">(17A) </w:t>
      </w:r>
      <w:r>
        <w:rPr>
          <w:rFonts w:ascii="Times New Roman" w:hAnsi="Times New Roman"/>
          <w:b/>
          <w:i w:val="false"/>
          <w:color w:val="000000"/>
          <w:sz w:val="22"/>
        </w:rPr>
        <w:t xml:space="preserve">Signatures on documents and papers. </w:t>
      </w:r>
      <w:r>
        <w:rPr>
          <w:rFonts w:ascii="Times New Roman" w:hAnsi="Times New Roman"/>
          <w:b w:val="false"/>
          <w:i w:val="false"/>
          <w:color w:val="000000"/>
          <w:sz w:val="22"/>
        </w:rPr>
        <w:t>All documents and papers required by these rules, the Iowa Rules of Civil Procedure as applicable, or a statutory provision shall be signed by the party if unrepresented or the party’s attorney if represented. The party’s signature in addition to the attorney’s signature shall be necessary only when otherwise required by these rules, the Iowa Rules of Civil Procedure as applicable, and any statutory provision. Iowa R. Elec. P. 16.305 concerning signatures is applicable to WCES.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