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876—2506.39</w:t>
      </w:r>
      <w:r>
        <w:rPr>
          <w:rFonts w:ascii="Times New Roman" w:hAnsi="Times New Roman"/>
          <w:b/>
          <w:i w:val="false"/>
          <w:color w:val="000000"/>
          <w:sz w:val="22"/>
        </w:rPr>
        <w:t xml:space="preserve">(17A) </w:t>
      </w:r>
      <w:r>
        <w:rPr>
          <w:rFonts w:ascii="Times New Roman" w:hAnsi="Times New Roman"/>
          <w:b/>
          <w:i w:val="false"/>
          <w:color w:val="000000"/>
          <w:sz w:val="22"/>
        </w:rPr>
        <w:t xml:space="preserve">Appearance and responses, pleadings, motions and settlements. </w:t>
      </w:r>
      <w:r>
        <w:rPr>
          <w:rFonts w:ascii="Times New Roman" w:hAnsi="Times New Roman"/>
          <w:b w:val="false"/>
          <w:i w:val="false"/>
          <w:color w:val="000000"/>
          <w:sz w:val="22"/>
        </w:rPr>
        <w:t xml:space="preserve">Appearances and responses to pleadings and motions shall be made in WCES. Registration with the division of workers’ compensation’s WCES is required. Registration is accepted at </w:t>
      </w:r>
      <w:hyperlink r:id="rId4">
        <w:r>
          <w:rPr>
            <w:rStyle w:val="Hyperlink"/>
            <w:rFonts w:ascii="Times New Roman" w:hAnsi="Times New Roman"/>
            <w:b w:val="false"/>
            <w:i w:val="false"/>
            <w:color w:val="000000"/>
            <w:sz w:val="22"/>
            <w:u w:val="single"/>
          </w:rPr>
          <w:t>efile.iowaworkcomp.gov</w:t>
        </w:r>
      </w:hyperlink>
      <w:r>
        <w:rPr>
          <w:rFonts w:ascii="Times New Roman" w:hAnsi="Times New Roman"/>
          <w:b w:val="false"/>
          <w:i w:val="false"/>
          <w:color w:val="000000"/>
          <w:sz w:val="22"/>
        </w:rPr>
        <w:t xml:space="preserve">. After a matter has been commenced and the respondent has been served with an original notice and filed an answer or appearance, subsequent filings or submissions in WCES do not require proof of service to parties of record who are registered with WCES. If a party has been granted a waiver of the mandatory use of WCES, the party shall include a proof of service for all parties of record. Attorneys will need to use the AT pin or pro hac vice pin assigned by the Iowa Supreme Court to be associated with a case in WCES. When an attorney is not representing a party, the employer or insurance carrier or the employer’s or insurance carrier’s agent or claimant shall register in WCES to file the settlement or medical data pursuant to </w:t>
      </w:r>
      <w:hyperlink r:id="rId5">
        <w:r>
          <w:rPr>
            <w:rStyle w:val="Hyperlink"/>
            <w:rFonts w:ascii="Times New Roman" w:hAnsi="Times New Roman"/>
            <w:b w:val="false"/>
            <w:i w:val="false"/>
            <w:color w:val="000000"/>
            <w:sz w:val="22"/>
          </w:rPr>
          <w:t>876—subrule 3.1(2)</w:t>
        </w:r>
      </w:hyperlink>
      <w:r>
        <w:rPr>
          <w:rFonts w:ascii="Times New Roman" w:hAnsi="Times New Roman"/>
          <w:b w:val="false"/>
          <w:i w:val="false"/>
          <w:color w:val="000000"/>
          <w:sz w:val="22"/>
        </w:rPr>
        <w:t>. The filer will receive a status update for the information the filer submits based upon the status the filer selects when registering in WCES.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2506.39(1)</w:t>
      </w:r>
      <w:r>
        <w:rPr>
          <w:rFonts w:ascii="Times New Roman" w:hAnsi="Times New Roman"/>
          <w:b w:val="false"/>
          <w:i w:val="false"/>
          <w:color w:val="000000"/>
          <w:sz w:val="22"/>
        </w:rPr>
        <w:t> </w:t>
      </w:r>
      <w:r>
        <w:rPr>
          <w:rFonts w:ascii="Times New Roman" w:hAnsi="Times New Roman"/>
          <w:b w:val="false"/>
          <w:i/>
          <w:color w:val="000000"/>
          <w:sz w:val="22"/>
        </w:rPr>
        <w:t xml:space="preserve">Motions. </w:t>
      </w:r>
      <w:r>
        <w:rPr>
          <w:rFonts w:ascii="Times New Roman" w:hAnsi="Times New Roman"/>
          <w:b w:val="false"/>
          <w:i w:val="false"/>
          <w:color w:val="000000"/>
          <w:sz w:val="22"/>
        </w:rPr>
        <w:t>Motions attacking a pleading must be served before responding to a pleading or, if no responsive pleading is required, upon motion made by a party within 20 days after the service of the pleading on such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2506.39(2)</w:t>
      </w:r>
      <w:r>
        <w:rPr>
          <w:rFonts w:ascii="Times New Roman" w:hAnsi="Times New Roman"/>
          <w:b w:val="false"/>
          <w:i w:val="false"/>
          <w:color w:val="000000"/>
          <w:sz w:val="22"/>
        </w:rPr>
        <w:t> </w:t>
      </w:r>
      <w:r>
        <w:rPr>
          <w:rFonts w:ascii="Times New Roman" w:hAnsi="Times New Roman"/>
          <w:b w:val="false"/>
          <w:i/>
          <w:color w:val="000000"/>
          <w:sz w:val="22"/>
        </w:rPr>
        <w:t xml:space="preserve">Time after motions attacking pleadings and special appearances. </w:t>
      </w:r>
      <w:r>
        <w:rPr>
          <w:rFonts w:ascii="Times New Roman" w:hAnsi="Times New Roman"/>
          <w:b w:val="false"/>
          <w:i w:val="false"/>
          <w:color w:val="000000"/>
          <w:sz w:val="22"/>
        </w:rPr>
        <w:t>If a motion attacking a pleading is so disposed of as to require further pleading, such further pleading shall be served within ten days after notice of the action of the workers’ compensation commissioner or deputy workers’ compensation commissioner. If the further pleading requires a response, the response shall be filed within ten days after service of the further pleading.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2506.39(3)</w:t>
      </w:r>
      <w:r>
        <w:rPr>
          <w:rFonts w:ascii="Times New Roman" w:hAnsi="Times New Roman"/>
          <w:b w:val="false"/>
          <w:i w:val="false"/>
          <w:color w:val="000000"/>
          <w:sz w:val="22"/>
        </w:rPr>
        <w:t> </w:t>
      </w:r>
      <w:r>
        <w:rPr>
          <w:rFonts w:ascii="Times New Roman" w:hAnsi="Times New Roman"/>
          <w:b w:val="false"/>
          <w:i/>
          <w:color w:val="000000"/>
          <w:sz w:val="22"/>
        </w:rPr>
        <w:t xml:space="preserve">Form, submission and ruling on motions.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motions, including pre-answer motions and motions for summary judgment, shall have appended to them a concise memorandum brief and argument. All motions except motions for summary judgment shall be deemed submitted without hearing on the record presented on the tenth day following filing. Motions for summary judgment shall be deemed submitted as provided in Iowa </w:t>
      </w:r>
      <w:r>
        <w:rPr>
          <w:rFonts w:ascii="Times New Roman" w:hAnsi="Times New Roman"/>
          <w:b w:val="false"/>
          <w:i w:val="false"/>
          <w:color w:val="000000"/>
          <w:sz w:val="22"/>
        </w:rPr>
        <w:t>Rule of Civil Procedure 1.981</w:t>
      </w:r>
      <w:r>
        <w:rPr>
          <w:rFonts w:ascii="Times New Roman" w:hAnsi="Times New Roman"/>
          <w:b w:val="false"/>
          <w:i w:val="false"/>
          <w:color w:val="000000"/>
          <w:sz w:val="22"/>
        </w:rPr>
        <w:t>. Resistances to motions shall have appended to them a concise memorandum brief and argument and shall be filed on or before the date of submission. Briefs and arguments are waived unless appended to the motion or resistance.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order may be entered consolidating any motion for ruling with the hearing of the contested case. Any party desiring a ruling on a motion prior to the hearing may concisely set forth the necessity of prior ruling in the motion, application or resistance. If a pre-answer motion alleging lack of jurisdiction is overruled or consolidated with hearing of the contested case, the party shall plead to the merits and proceed to hearing of the contested case without submitting to the jurisdiction of the workers’ compensation commissioner. If a motion attacking a pleading is consolidated with hearing of the contested case, the party shall respond to the pleading in the same manner as if the motion had been overruled.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2506.39(4)</w:t>
      </w:r>
      <w:r>
        <w:rPr>
          <w:rFonts w:ascii="Times New Roman" w:hAnsi="Times New Roman"/>
          <w:b w:val="false"/>
          <w:i w:val="false"/>
          <w:color w:val="000000"/>
          <w:sz w:val="22"/>
        </w:rPr>
        <w:t> </w:t>
      </w:r>
      <w:r>
        <w:rPr>
          <w:rFonts w:ascii="Times New Roman" w:hAnsi="Times New Roman"/>
          <w:b w:val="false"/>
          <w:i/>
          <w:color w:val="000000"/>
          <w:sz w:val="22"/>
        </w:rPr>
        <w:t xml:space="preserve">Withdrawal of counsel.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Counsel may withdraw if another counsel has appeared or if the client’s written consent accompanies the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 all other circumstances, counsel may withdraw only upon the order of the workers’ compensation commissioner after making written application. Counsel shall give the client written notice that the client has the right to object to the withdrawal by filing written objections and a request for a hearing to the Workers’ Compensation Division, 6200 Park Avenue, Suite 100, Des Moines, Iowa 50321, within ten days following the date the notice was mailed or personally delivered to the client. The client’s response does not need to be filed in WCES but may be mailed or delivered to the division. Counsel’s application shall be accompanied by proof that a copy of the application and notice was sent by certified mail addressed to the client’s last-known address or was delivered to the client personally. If no objections are timely filed, the withdrawal will become effective when approved by the workers’ compensation commissioner. If objections are timely filed, a hearing on the application will be held. No withdrawal under this subrule will be effective without the approval of the workers’ compensation commissioner. The filing of an application to withdraw stays all pending matters until a ruling is made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2506.39(5)</w:t>
      </w:r>
      <w:r>
        <w:rPr>
          <w:rFonts w:ascii="Times New Roman" w:hAnsi="Times New Roman"/>
          <w:b w:val="false"/>
          <w:i w:val="false"/>
          <w:color w:val="000000"/>
          <w:sz w:val="22"/>
        </w:rPr>
        <w:t> </w:t>
      </w:r>
      <w:r>
        <w:rPr>
          <w:rFonts w:ascii="Times New Roman" w:hAnsi="Times New Roman"/>
          <w:b w:val="false"/>
          <w:i/>
          <w:color w:val="000000"/>
          <w:sz w:val="22"/>
        </w:rPr>
        <w:t xml:space="preserve">Pro hac vice. </w:t>
      </w:r>
      <w:r>
        <w:rPr>
          <w:rFonts w:ascii="Times New Roman" w:hAnsi="Times New Roman"/>
          <w:b w:val="false"/>
          <w:i w:val="false"/>
          <w:color w:val="000000"/>
          <w:sz w:val="22"/>
        </w:rPr>
        <w:t xml:space="preserve">An out-of-state attorney desiring to appear pro hac vice in an Iowa workers’ compensation division case is required to access the office of professional regulation (OPR)/supreme court commissions (SCC) website, submit certain personal information to complete pertinent fields in the lawyer database, and pay a fee that will be deposited in the client security trust fund. The registration and fee payment allow the attorney to apply to appear pro hac vice in Iowa division of workers’ compensation cases, subject to the limits and requirements of </w:t>
      </w:r>
      <w:r>
        <w:rPr>
          <w:rFonts w:ascii="Times New Roman" w:hAnsi="Times New Roman"/>
          <w:b w:val="false"/>
          <w:i w:val="false"/>
          <w:color w:val="000000"/>
          <w:sz w:val="22"/>
        </w:rPr>
        <w:t>Iowa Court Rule 31.14</w:t>
      </w:r>
      <w:r>
        <w:rPr>
          <w:rFonts w:ascii="Times New Roman" w:hAnsi="Times New Roman"/>
          <w:b w:val="false"/>
          <w:i w:val="false"/>
          <w:color w:val="000000"/>
          <w:sz w:val="22"/>
        </w:rPr>
        <w:t xml:space="preserve">, for a period of up to five years from the date of registration. Attorneys who register and pay the fee appear in the OPR/SCC database with the status of “pro hac vice.” The Iowa division of workers’ compensation will request from the Iowa courts that a pro hac vice number be issued and will provide that number to the out-of-state attorney for registration with WCES. The affiliated in-state attorney shall file in WCES the application to appear pro hac vice completed by the out-of-state attorney using a pleading that is substantially similar to </w:t>
      </w:r>
      <w:r>
        <w:rPr>
          <w:rFonts w:ascii="Times New Roman" w:hAnsi="Times New Roman"/>
          <w:b w:val="false"/>
          <w:i w:val="false"/>
          <w:color w:val="000000"/>
          <w:sz w:val="22"/>
        </w:rPr>
        <w:t>Iowa Court Rule 31.25</w:t>
      </w:r>
      <w:r>
        <w:rPr>
          <w:rFonts w:ascii="Times New Roman" w:hAnsi="Times New Roman"/>
          <w:b w:val="false"/>
          <w:i w:val="false"/>
          <w:color w:val="000000"/>
          <w:sz w:val="22"/>
        </w:rPr>
        <w:t>—Form 1.</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efile.iowaworkcomp.gov" Type="http://schemas.openxmlformats.org/officeDocument/2006/relationships/hyperlink" Id="rId4"/>
    <Relationship TargetMode="External" Target="https://www.legis.iowa.gov/docs/iac/rule/876.3.1.pdf" Type="http://schemas.openxmlformats.org/officeDocument/2006/relationships/hyperlink" Id="rId5"/>
    <Relationship TargetMode="External" Target="https://www.legis.iowa.gov/docs/ico/chapter/17A.1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