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876—2506.36</w:t>
      </w:r>
      <w:r>
        <w:rPr>
          <w:rFonts w:ascii="Times New Roman" w:hAnsi="Times New Roman"/>
          <w:b/>
          <w:i w:val="false"/>
          <w:color w:val="000000"/>
          <w:sz w:val="22"/>
        </w:rPr>
        <w:t xml:space="preserve">(10A,17A,85) </w:t>
      </w:r>
      <w:r>
        <w:rPr>
          <w:rFonts w:ascii="Times New Roman" w:hAnsi="Times New Roman"/>
          <w:b/>
          <w:i w:val="false"/>
          <w:color w:val="000000"/>
          <w:sz w:val="22"/>
        </w:rPr>
        <w:t xml:space="preserve">Original notice and petition. </w:t>
      </w:r>
      <w:r>
        <w:rPr>
          <w:rFonts w:ascii="Times New Roman" w:hAnsi="Times New Roman"/>
          <w:b w:val="false"/>
          <w:i w:val="false"/>
          <w:color w:val="000000"/>
          <w:sz w:val="22"/>
        </w:rPr>
        <w:t>A petition or application must be delivered or filed with the original notice unless original notice Form 100, Form 100A, Form 100B, or Form 100D of the workers’ compensation division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original notice Form 100, Form 100A, Form 100B, Form 100C, Form 100D, or a determination of liability reimbursement for benefits paid and recovery of interest form shall provide for the data required in Iowa Code section </w:t>
      </w:r>
      <w:hyperlink r:id="rId4">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shall contain factors relevant to the contested case proceedings listed in rule </w:t>
      </w:r>
      <w:hyperlink r:id="rId5">
        <w:r>
          <w:rPr>
            <w:rStyle w:val="Hyperlink"/>
            <w:rFonts w:ascii="Times New Roman" w:hAnsi="Times New Roman"/>
            <w:b w:val="false"/>
            <w:i w:val="false"/>
            <w:color w:val="000000"/>
            <w:sz w:val="22"/>
          </w:rPr>
          <w:t>876—2506.32</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100 is to be used for all contested case proceedings except as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100A is to be used for the contested case proceedings provided for in subrule </w:t>
      </w:r>
      <w:hyperlink r:id="rId6">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100B is to be used for the contested case proceeding provided for in subrule </w:t>
      </w:r>
      <w:hyperlink r:id="rId7">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100C is to be used for the contested case proceeding provided for in rules </w:t>
      </w:r>
      <w:hyperlink r:id="rId8">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 xml:space="preserve">(10A) and </w:t>
      </w:r>
      <w:hyperlink r:id="rId9">
        <w:r>
          <w:rPr>
            <w:rStyle w:val="Hyperlink"/>
            <w:rFonts w:ascii="Times New Roman" w:hAnsi="Times New Roman"/>
            <w:b w:val="false"/>
            <w:i w:val="false"/>
            <w:color w:val="000000"/>
            <w:sz w:val="22"/>
          </w:rPr>
          <w:t>876—2506.65</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100D is to be used for the contested case proceeding provided for in rule </w:t>
      </w:r>
      <w:hyperlink r:id="rId10">
        <w:r>
          <w:rPr>
            <w:rStyle w:val="Hyperlink"/>
            <w:rFonts w:ascii="Times New Roman" w:hAnsi="Times New Roman"/>
            <w:b w:val="false"/>
            <w:i w:val="false"/>
            <w:color w:val="000000"/>
            <w:sz w:val="22"/>
          </w:rPr>
          <w:t>876—2506.67</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consent order for payment of benefits under Iowa Code section </w:t>
      </w:r>
      <w:hyperlink r:id="rId11">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xml:space="preserve"> is to be used for contested case proceedings brought under Iowa Code section </w:t>
      </w:r>
      <w:hyperlink r:id="rId12">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commutation is sought, Form No. 14-0013 or Form No. 14-0017 must be filed in addition to any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for declaratory order, approval of attorney fees, determination of compliance and other proceedings not covered in the original notice forms must accompany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2506.36(2)</w:t>
      </w:r>
      <w:r>
        <w:rPr>
          <w:rFonts w:ascii="Times New Roman" w:hAnsi="Times New Roman"/>
          <w:b w:val="false"/>
          <w:i w:val="false"/>
          <w:color w:val="000000"/>
          <w:sz w:val="22"/>
        </w:rPr>
        <w:t> </w:t>
      </w:r>
      <w:r>
        <w:rPr>
          <w:rFonts w:ascii="Times New Roman" w:hAnsi="Times New Roman"/>
          <w:b w:val="false"/>
          <w:i w:val="false"/>
          <w:color w:val="000000"/>
          <w:sz w:val="22"/>
        </w:rPr>
        <w:t>At the same time and in the same manner as service of the original notice and petition, the claimant shall serve a patient’s waiver using Form 14-0043 (authorization for release of information regarding claimants seeking workers’ compensation benefits), or a substantially equivalent form, which shall not be revoked until conclusion of the contested case. The claimant shall provide the patient’s waivers in other forms and update the patient’s waivers as necessary to permit full disclosure of discoverable information whenever requested by a medical practitioner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2506.36(3)</w:t>
      </w:r>
      <w:r>
        <w:rPr>
          <w:rFonts w:ascii="Times New Roman" w:hAnsi="Times New Roman"/>
          <w:b w:val="false"/>
          <w:i w:val="false"/>
          <w:color w:val="000000"/>
          <w:sz w:val="22"/>
        </w:rPr>
        <w:t> </w:t>
      </w:r>
      <w:r>
        <w:rPr>
          <w:rFonts w:ascii="Times New Roman" w:hAnsi="Times New Roman"/>
          <w:b w:val="false"/>
          <w:i w:val="false"/>
          <w:color w:val="000000"/>
          <w:sz w:val="22"/>
        </w:rPr>
        <w:t>A separate original notice and petition shall be filed for each claim that seeks benefits due to the occurrence of an injury, occupational disease or occupational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notice and petition shall allege a specific date of occurrence consisting of a day, month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multiple dates of occurrence may be alleged in the same original notice and petition if the claim or claims arose from the same occurrence or series of occurrences and uncertainty exists concerning the correct date of occurrence or the number of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may join any number of employers or insurance carriers in the same original notice and petition if the claim is made against them jointly, severally or in the alternative. The remedy for misjoinder must be requested by motion within a reasonable time after the grounds become known, but in no event later than the claimant’s case preparation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remedies will be applied without prejudice to any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remedies contained in Iowa </w:t>
      </w:r>
      <w:r>
        <w:rPr>
          <w:rFonts w:ascii="Times New Roman" w:hAnsi="Times New Roman"/>
          <w:b w:val="false"/>
          <w:i w:val="false"/>
          <w:color w:val="000000"/>
          <w:sz w:val="22"/>
        </w:rPr>
        <w:t>Rule of Civil Procedure 1.236</w:t>
      </w:r>
      <w:r>
        <w:rPr>
          <w:rFonts w:ascii="Times New Roman" w:hAnsi="Times New Roman"/>
          <w:b w:val="false"/>
          <w:i w:val="false"/>
          <w:color w:val="000000"/>
          <w:sz w:val="22"/>
        </w:rPr>
        <w:t>, the workers’ compensation commissioner may order that parts of a claim be severed and proceeded with separately or that separate related claims be joined or consolidated for administrative convenience or for any good cause. If a correction is ordered but not made by a date specified in the order, the original notice and petition may be dismissed without further notice. If the correction is made within the specified time, the correction relates back to the date of the initial filing for purposes of the statute of limitations.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sections </w:t>
      </w:r>
      <w:hyperlink r:id="rId1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 TargetMode="External" Target="https://www.legis.iowa.gov/docs/iac/rule/876.2506.32.pdf" Type="http://schemas.openxmlformats.org/officeDocument/2006/relationships/hyperlink" Id="rId5"/>
    <Relationship TargetMode="External" Target="https://www.legis.iowa.gov/docs/iac/rule/876.2506.32.pdf" Type="http://schemas.openxmlformats.org/officeDocument/2006/relationships/hyperlink" Id="rId6"/>
    <Relationship TargetMode="External" Target="https://www.legis.iowa.gov/docs/iac/rule/876.2506.32.pdf" Type="http://schemas.openxmlformats.org/officeDocument/2006/relationships/hyperlink" Id="rId7"/>
    <Relationship TargetMode="External" Target="https://www.legis.iowa.gov/docs/iac/rule/876.2506.62.pdf" Type="http://schemas.openxmlformats.org/officeDocument/2006/relationships/hyperlink" Id="rId8"/>
    <Relationship TargetMode="External" Target="https://www.legis.iowa.gov/docs/iac/rule/876.2506.65.pdf" Type="http://schemas.openxmlformats.org/officeDocument/2006/relationships/hyperlink" Id="rId9"/>
    <Relationship TargetMode="External" Target="https://www.legis.iowa.gov/docs/iac/rule/876.2506.67.pdf" Type="http://schemas.openxmlformats.org/officeDocument/2006/relationships/hyperlink" Id="rId10"/>
    <Relationship TargetMode="External" Target="https://www.legis.iowa.gov/docs/ico/chapter/85.21.pdf" Type="http://schemas.openxmlformats.org/officeDocument/2006/relationships/hyperlink" Id="rId11"/>
    <Relationship TargetMode="External" Target="https://www.legis.iowa.gov/docs/ico/chapter/85.21.pdf" Type="http://schemas.openxmlformats.org/officeDocument/2006/relationships/hyperlink" Id="rId12"/>
    <Relationship TargetMode="External" Target="https://www.legis.iowa.gov/docs/ico/chapter/10A.pdf" Type="http://schemas.openxmlformats.org/officeDocument/2006/relationships/hyperlink" Id="rId13"/>
    <Relationship TargetMode="External" Target="https://www.legis.iowa.gov/docs/ico/chapter/17A.12.pdf" Type="http://schemas.openxmlformats.org/officeDocument/2006/relationships/hyperlink" Id="rId14"/>
    <Relationship TargetMode="External" Target="https://www.legis.iowa.gov/docs/ico/chapter/85.27.pdf" Type="http://schemas.openxmlformats.org/officeDocument/2006/relationships/hyperlink" Id="rId15"/>
    <Relationship TargetMode="External" Target="https://www.legis.iowa.gov/docs/ico/chapter/85.45.pdf" Type="http://schemas.openxmlformats.org/officeDocument/2006/relationships/hyperlink" Id="rId16"/>
    <Relationship TargetMode="External" Target="https://www.legis.iowa.gov/docs/ico/chapter/85.48.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