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876—2506.34</w:t>
      </w:r>
      <w:r>
        <w:rPr>
          <w:rFonts w:ascii="Times New Roman" w:hAnsi="Times New Roman"/>
          <w:b/>
          <w:i w:val="false"/>
          <w:color w:val="000000"/>
          <w:sz w:val="22"/>
        </w:rPr>
        <w:t xml:space="preserve">(10A,85,85A,85B,87) </w:t>
      </w:r>
      <w:r>
        <w:rPr>
          <w:rFonts w:ascii="Times New Roman" w:hAnsi="Times New Roman"/>
          <w:b/>
          <w:i w:val="false"/>
          <w:color w:val="000000"/>
          <w:sz w:val="22"/>
        </w:rPr>
        <w:t xml:space="preserve">Compliance proceedings. </w:t>
      </w:r>
      <w:r>
        <w:rPr>
          <w:rFonts w:ascii="Times New Roman" w:hAnsi="Times New Roman"/>
          <w:b w:val="false"/>
          <w:i w:val="false"/>
          <w:color w:val="000000"/>
          <w:sz w:val="22"/>
        </w:rPr>
        <w:t xml:space="preserve">If the workers’ compensation commissioner shall have reason to believe that there has not been compliance with the workers’ compensation law by any person or entity, the workers’ compensation commissioner may on the workers’ compensation commissioner’s own motion give notice to the person or entity and schedule a hearing for the purpose of determining whether there has been compliance by the person or entity. The notice shall state the time and place of the hearing and a brief statement of the matters to be considered. The notice of hearing may be given by ordinary mail or by Workers’ Compensation Electronic System (WCES) if the alleged noncompliant person or entity is registered in WCES and is currently participating in a contested case using WCES and may be given to the insurer for the employer in lieu of the employer as permitted by Iowa Code section </w:t>
      </w:r>
      <w:hyperlink r:id="rId4">
        <w:r>
          <w:rPr>
            <w:rStyle w:val="Hyperlink"/>
            <w:rFonts w:ascii="Times New Roman" w:hAnsi="Times New Roman"/>
            <w:b w:val="false"/>
            <w:i w:val="false"/>
            <w:color w:val="000000"/>
            <w:sz w:val="22"/>
          </w:rPr>
          <w:t>87.10</w:t>
        </w:r>
      </w:hyperlink>
      <w:r>
        <w:rPr>
          <w:rFonts w:ascii="Times New Roman" w:hAnsi="Times New Roman"/>
          <w:b w:val="false"/>
          <w:i w:val="false"/>
          <w:color w:val="000000"/>
          <w:sz w:val="22"/>
        </w:rPr>
        <w:t xml:space="preserve"> if the insurer has filed a report, pleading or motion that acknowledges that it is the insurer for the claim at issue. Following the hearing, the workers’ compensation commissioner or a deputy workers’ compensation commissioner may issue a finding regarding compliance. In the event a failure to comply is found, the workers’ compensation commissioner may impose sanctions in accordance with Iowa Code section </w:t>
      </w:r>
      <w:hyperlink r:id="rId5">
        <w:r>
          <w:rPr>
            <w:rStyle w:val="Hyperlink"/>
            <w:rFonts w:ascii="Times New Roman" w:hAnsi="Times New Roman"/>
            <w:b w:val="false"/>
            <w:i w:val="false"/>
            <w:color w:val="000000"/>
            <w:sz w:val="22"/>
          </w:rPr>
          <w:t>10A.314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10A.316</w:t>
        </w:r>
      </w:hyperlink>
      <w:r>
        <w:rPr>
          <w:rFonts w:ascii="Times New Roman" w:hAnsi="Times New Roman"/>
          <w:b w:val="false"/>
          <w:i w:val="false"/>
          <w:color w:val="000000"/>
          <w:sz w:val="22"/>
        </w:rPr>
        <w:t xml:space="preserve"> or order compliance within a specified time and under specified circumstances. The workers’ compensation commissioner may file a certified copy of the order in an appropriate district court and may file a certified copy of the order with the Iowa insurance division of the department of insurance and financial services with a request for action by the insurance division upon failure to comply with the order. Nothing in this rule shall prevent the workers’ compensation commissioner from conducting an informal conference with any person or entity concerning problems of compliance prior to the initiation of a compliance proceeding.</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7.10.pdf" Type="http://schemas.openxmlformats.org/officeDocument/2006/relationships/hyperlink" Id="rId4"/>
    <Relationship TargetMode="External" Target="https://www.legis.iowa.gov/docs/ico/chapter/10A.314.pdf" Type="http://schemas.openxmlformats.org/officeDocument/2006/relationships/hyperlink" Id="rId5"/>
    <Relationship TargetMode="External" Target="https://www.legis.iowa.gov/docs/ico/chapter/10A.315.pdf" Type="http://schemas.openxmlformats.org/officeDocument/2006/relationships/hyperlink" Id="rId6"/>
    <Relationship TargetMode="External" Target="https://www.legis.iowa.gov/docs/ico/chapter/10A.316.pdf"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85.pdf" Type="http://schemas.openxmlformats.org/officeDocument/2006/relationships/hyperlink" Id="rId9"/>
    <Relationship TargetMode="External" Target="https://www.legis.iowa.gov/docs/ico/chapter/85B.pdf" Type="http://schemas.openxmlformats.org/officeDocument/2006/relationships/hyperlink" Id="rId10"/>
    <Relationship TargetMode="External" Target="https://www.legis.iowa.gov/docs/ico/chapter/8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