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876—2506.33</w:t>
      </w:r>
      <w:r>
        <w:rPr>
          <w:rFonts w:ascii="Times New Roman" w:hAnsi="Times New Roman"/>
          <w:b/>
          <w:i w:val="false"/>
          <w:color w:val="000000"/>
          <w:sz w:val="22"/>
        </w:rPr>
        <w:t xml:space="preserve">(10A) </w:t>
      </w:r>
      <w:r>
        <w:rPr>
          <w:rFonts w:ascii="Times New Roman" w:hAnsi="Times New Roman"/>
          <w:b/>
          <w:i w:val="false"/>
          <w:color w:val="000000"/>
          <w:sz w:val="22"/>
        </w:rPr>
        <w:t xml:space="preserve">Separate evidentiary hearing—denial or delay of benefits. </w:t>
      </w:r>
      <w:r>
        <w:rPr>
          <w:rFonts w:ascii="Times New Roman" w:hAnsi="Times New Roman"/>
          <w:b w:val="false"/>
          <w:i w:val="false"/>
          <w:color w:val="000000"/>
          <w:sz w:val="22"/>
        </w:rPr>
        <w:t xml:space="preserve">Entitlement to penalty benefits for unreasonable delay, denial, or termination of benefits, as provided in Iowa Code section </w:t>
      </w:r>
      <w:hyperlink r:id="rId4">
        <w:r>
          <w:rPr>
            <w:rStyle w:val="Hyperlink"/>
            <w:rFonts w:ascii="Times New Roman" w:hAnsi="Times New Roman"/>
            <w:b w:val="false"/>
            <w:i w:val="false"/>
            <w:color w:val="000000"/>
            <w:sz w:val="22"/>
          </w:rPr>
          <w:t>10A.315</w:t>
        </w:r>
      </w:hyperlink>
      <w:r>
        <w:rPr>
          <w:rFonts w:ascii="Times New Roman" w:hAnsi="Times New Roman"/>
          <w:b w:val="false"/>
          <w:i w:val="false"/>
          <w:color w:val="000000"/>
          <w:sz w:val="22"/>
        </w:rPr>
        <w:t>, shall be pled. Discovery shall be limited to matters discoverable in the absence of such pleading unless it is bifurcated. The claimant may bifurcate the denial or delay issue by filing and serving a notice of bifurcation at any time before a case is assigned for hearing, in which case discovery on that issue may proceed only after the final decision of the agency on all other issues.</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5">
        <w:r>
          <w:rPr>
            <w:rStyle w:val="Hyperlink"/>
            <w:rFonts w:ascii="Times New Roman" w:hAnsi="Times New Roman"/>
            <w:b w:val="false"/>
            <w:i w:val="false"/>
            <w:color w:val="000000"/>
            <w:sz w:val="22"/>
          </w:rPr>
          <w:t>10A.315</w:t>
        </w:r>
      </w:hyperlink>
      <w:r>
        <w:rPr>
          <w:rFonts w:ascii="Times New Roman" w:hAnsi="Times New Roman"/>
          <w:b w:val="false"/>
          <w:i w:val="false"/>
          <w:color w:val="000000"/>
          <w:sz w:val="22"/>
        </w:rPr>
        <w:t xml:space="preserve">, </w:t>
      </w:r>
      <w:hyperlink r:id="rId6">
        <w:r>
          <w:rPr>
            <w:rStyle w:val="Hyperlink"/>
            <w:rFonts w:ascii="Times New Roman" w:hAnsi="Times New Roman"/>
            <w:b w:val="false"/>
            <w:i w:val="false"/>
            <w:color w:val="000000"/>
            <w:sz w:val="22"/>
          </w:rPr>
          <w:t>10A.319</w:t>
        </w:r>
      </w:hyperlink>
      <w:r>
        <w:rPr>
          <w:rFonts w:ascii="Times New Roman" w:hAnsi="Times New Roman"/>
          <w:b w:val="false"/>
          <w:i w:val="false"/>
          <w:color w:val="000000"/>
          <w:sz w:val="22"/>
        </w:rPr>
        <w:t xml:space="preserve">, and </w:t>
      </w:r>
      <w:hyperlink r:id="rId7">
        <w:r>
          <w:rPr>
            <w:rStyle w:val="Hyperlink"/>
            <w:rFonts w:ascii="Times New Roman" w:hAnsi="Times New Roman"/>
            <w:b w:val="false"/>
            <w:i w:val="false"/>
            <w:color w:val="000000"/>
            <w:sz w:val="22"/>
          </w:rPr>
          <w:t>10A.321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0408D</w:t>
      </w:r>
      <w:r>
        <w:rPr>
          <w:rFonts w:ascii="Times New Roman" w:hAnsi="Times New Roman"/>
          <w:b w:val="false"/>
          <w:i w:val="false"/>
          <w:color w:val="000000"/>
          <w:sz w:val="16"/>
        </w:rPr>
        <w:t>, IAB 7/8/26, effective 6/30/26</w:t>
      </w:r>
      <w:r>
        <w:rPr>
          <w:rFonts w:ascii="Times New Roman" w:hAnsi="Times New Roman"/>
          <w:b w:val="false"/>
          <w:i w:val="false"/>
          <w:color w:val="000000"/>
          <w:sz w:val="16"/>
        </w:rPr>
        <w:t>]</w:t>
      </w:r>
    </w:p>
    <w:sectPr>
      <w:footerReference r:id="rId8"/>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0A.315.pdf" Type="http://schemas.openxmlformats.org/officeDocument/2006/relationships/hyperlink" Id="rId4"/>
    <Relationship TargetMode="External" Target="https://www.legis.iowa.gov/docs/ico/chapter/10A.315.pdf" Type="http://schemas.openxmlformats.org/officeDocument/2006/relationships/hyperlink" Id="rId5"/>
    <Relationship TargetMode="External" Target="https://www.legis.iowa.gov/docs/ico/chapter/10A.319.pdf" Type="http://schemas.openxmlformats.org/officeDocument/2006/relationships/hyperlink" Id="rId6"/>
    <Relationship TargetMode="External" Target="https://www.legis.iowa.gov/docs/ico/chapter/10A.321.pdf" Type="http://schemas.openxmlformats.org/officeDocument/2006/relationships/hyperlink" Id="rId7"/>
    <Relationship Target="footer.xml" Type="http://schemas.openxmlformats.org/officeDocument/2006/relationships/footer" Id="rId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