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876—2506.32</w:t>
      </w:r>
      <w:r>
        <w:rPr>
          <w:rFonts w:ascii="Times New Roman" w:hAnsi="Times New Roman"/>
          <w:b/>
          <w:i w:val="false"/>
          <w:color w:val="000000"/>
          <w:sz w:val="22"/>
        </w:rPr>
        <w:t xml:space="preserve">(10A,17A,85)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Contested case proceedings before the workers’ compensation commissioner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val="false"/>
          <w:color w:val="000000"/>
          <w:sz w:val="22"/>
        </w:rPr>
        <w:t xml:space="preserve">Arbitration as described in Iowa Code section </w:t>
      </w:r>
      <w:hyperlink r:id="rId4">
        <w:r>
          <w:rPr>
            <w:rStyle w:val="Hyperlink"/>
            <w:rFonts w:ascii="Times New Roman" w:hAnsi="Times New Roman"/>
            <w:b w:val="false"/>
            <w:i w:val="false"/>
            <w:color w:val="000000"/>
            <w:sz w:val="22"/>
          </w:rPr>
          <w:t>10A.317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Review-reopening of an award or a settlement as described in Iowa Code section </w:t>
      </w:r>
      <w:hyperlink r:id="rId5">
        <w:r>
          <w:rPr>
            <w:rStyle w:val="Hyperlink"/>
            <w:rFonts w:ascii="Times New Roman" w:hAnsi="Times New Roman"/>
            <w:b w:val="false"/>
            <w:i w:val="false"/>
            <w:color w:val="000000"/>
            <w:sz w:val="22"/>
          </w:rPr>
          <w:t>10A.317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val="false"/>
          <w:color w:val="000000"/>
          <w:sz w:val="22"/>
        </w:rPr>
        <w:t xml:space="preserve">Benefits as described in Iowa Code section </w:t>
      </w:r>
      <w:hyperlink r:id="rId6">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val="false"/>
          <w:color w:val="000000"/>
          <w:sz w:val="22"/>
        </w:rPr>
        <w:t xml:space="preserve">Death and burial benefits as described in Iowa Code sections </w:t>
      </w:r>
      <w:hyperlink r:id="rId7">
        <w:r>
          <w:rPr>
            <w:rStyle w:val="Hyperlink"/>
            <w:rFonts w:ascii="Times New Roman" w:hAnsi="Times New Roman"/>
            <w:b w:val="false"/>
            <w:i w:val="false"/>
            <w:color w:val="000000"/>
            <w:sz w:val="22"/>
          </w:rPr>
          <w:t>85.28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85.29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2506.32(5)</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dependency as described in Iowa Code sections </w:t>
      </w:r>
      <w:hyperlink r:id="rId10">
        <w:r>
          <w:rPr>
            <w:rStyle w:val="Hyperlink"/>
            <w:rFonts w:ascii="Times New Roman" w:hAnsi="Times New Roman"/>
            <w:b w:val="false"/>
            <w:i w:val="false"/>
            <w:color w:val="000000"/>
            <w:sz w:val="22"/>
          </w:rPr>
          <w:t>85.42</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85.44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2506.32(6)</w:t>
      </w:r>
      <w:r>
        <w:rPr>
          <w:rFonts w:ascii="Times New Roman" w:hAnsi="Times New Roman"/>
          <w:b w:val="false"/>
          <w:i w:val="false"/>
          <w:color w:val="000000"/>
          <w:sz w:val="22"/>
        </w:rPr>
        <w:t> </w:t>
      </w:r>
      <w:r>
        <w:rPr>
          <w:rFonts w:ascii="Times New Roman" w:hAnsi="Times New Roman"/>
          <w:b w:val="false"/>
          <w:i w:val="false"/>
          <w:color w:val="000000"/>
          <w:sz w:val="22"/>
        </w:rPr>
        <w:t xml:space="preserve">Equitable apportionment as described in Iowa Code section </w:t>
      </w:r>
      <w:hyperlink r:id="rId12">
        <w:r>
          <w:rPr>
            <w:rStyle w:val="Hyperlink"/>
            <w:rFonts w:ascii="Times New Roman" w:hAnsi="Times New Roman"/>
            <w:b w:val="false"/>
            <w:i w:val="false"/>
            <w:color w:val="000000"/>
            <w:sz w:val="22"/>
          </w:rPr>
          <w:t>85.43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2506.32(7)</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injury fund as described in Iowa Code section </w:t>
      </w:r>
      <w:hyperlink r:id="rId13">
        <w:r>
          <w:rPr>
            <w:rStyle w:val="Hyperlink"/>
            <w:rFonts w:ascii="Times New Roman" w:hAnsi="Times New Roman"/>
            <w:b w:val="false"/>
            <w:i w:val="false"/>
            <w:color w:val="000000"/>
            <w:sz w:val="22"/>
          </w:rPr>
          <w:t>85.63</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2506.32(8)</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rehabilitation benefits as described in Iowa Code section </w:t>
      </w:r>
      <w:hyperlink r:id="rId14">
        <w:r>
          <w:rPr>
            <w:rStyle w:val="Hyperlink"/>
            <w:rFonts w:ascii="Times New Roman" w:hAnsi="Times New Roman"/>
            <w:b w:val="false"/>
            <w:i w:val="false"/>
            <w:color w:val="000000"/>
            <w:sz w:val="22"/>
          </w:rPr>
          <w:t>85.70(1)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2506.32(9)</w:t>
      </w:r>
      <w:r>
        <w:rPr>
          <w:rFonts w:ascii="Times New Roman" w:hAnsi="Times New Roman"/>
          <w:b w:val="false"/>
          <w:i w:val="false"/>
          <w:color w:val="000000"/>
          <w:sz w:val="22"/>
        </w:rPr>
        <w:t> </w:t>
      </w:r>
      <w:r>
        <w:rPr>
          <w:rFonts w:ascii="Times New Roman" w:hAnsi="Times New Roman"/>
          <w:b w:val="false"/>
          <w:i w:val="false"/>
          <w:color w:val="000000"/>
          <w:sz w:val="22"/>
        </w:rPr>
        <w:t xml:space="preserve">Vocational training and education as described in Iowa Code section </w:t>
      </w:r>
      <w:hyperlink r:id="rId15">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2506.32(10)</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fees as described in Iowa Code section </w:t>
      </w:r>
      <w:hyperlink r:id="rId16">
        <w:r>
          <w:rPr>
            <w:rStyle w:val="Hyperlink"/>
            <w:rFonts w:ascii="Times New Roman" w:hAnsi="Times New Roman"/>
            <w:b w:val="false"/>
            <w:i w:val="false"/>
            <w:color w:val="000000"/>
            <w:sz w:val="22"/>
          </w:rPr>
          <w:t>10A.327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Commutation as described in Iowa Code section </w:t>
      </w:r>
      <w:hyperlink r:id="rId17">
        <w:r>
          <w:rPr>
            <w:rStyle w:val="Hyperlink"/>
            <w:rFonts w:ascii="Times New Roman" w:hAnsi="Times New Roman"/>
            <w:b w:val="false"/>
            <w:i w:val="false"/>
            <w:color w:val="000000"/>
            <w:sz w:val="22"/>
          </w:rPr>
          <w:t>85.45</w:t>
        </w:r>
      </w:hyperlink>
      <w:r>
        <w:rPr>
          <w:rFonts w:ascii="Times New Roman" w:hAnsi="Times New Roman"/>
          <w:b w:val="false"/>
          <w:i w:val="false"/>
          <w:color w:val="000000"/>
          <w:sz w:val="22"/>
        </w:rPr>
        <w:t xml:space="preserve"> et seq.</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2506.32(12)</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examination as described in Iowa Code section </w:t>
      </w:r>
      <w:hyperlink r:id="rId18">
        <w:r>
          <w:rPr>
            <w:rStyle w:val="Hyperlink"/>
            <w:rFonts w:ascii="Times New Roman" w:hAnsi="Times New Roman"/>
            <w:b w:val="false"/>
            <w:i w:val="false"/>
            <w:color w:val="000000"/>
            <w:sz w:val="22"/>
          </w:rPr>
          <w:t>85.39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2506.32(13)</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compliance with Iowa Code chapters </w:t>
      </w:r>
      <w:hyperlink r:id="rId19">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2506.32(14)</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alternate medical care as described in Iowa Code section </w:t>
      </w:r>
      <w:hyperlink r:id="rId24">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2506.32(15)</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liability, reimbursement for benefits paid and recovery of interest as described in Iowa Code section </w:t>
      </w:r>
      <w:hyperlink r:id="rId25">
        <w:r>
          <w:rPr>
            <w:rStyle w:val="Hyperlink"/>
            <w:rFonts w:ascii="Times New Roman" w:hAnsi="Times New Roman"/>
            <w:b w:val="false"/>
            <w:i w:val="false"/>
            <w:color w:val="000000"/>
            <w:sz w:val="22"/>
          </w:rPr>
          <w:t>85.21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2506.32(16)</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as described in Iowa Code section </w:t>
      </w:r>
      <w:hyperlink r:id="rId26">
        <w:r>
          <w:rPr>
            <w:rStyle w:val="Hyperlink"/>
            <w:rFonts w:ascii="Times New Roman" w:hAnsi="Times New Roman"/>
            <w:b w:val="false"/>
            <w:i w:val="false"/>
            <w:color w:val="000000"/>
            <w:sz w:val="22"/>
          </w:rPr>
          <w:t>85.30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2506.32(17)</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as described in Iowa Code section </w:t>
      </w:r>
      <w:hyperlink r:id="rId27">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approval of third-party settlement as described in Iowa Code section </w:t>
      </w:r>
      <w:hyperlink r:id="rId28">
        <w:r>
          <w:rPr>
            <w:rStyle w:val="Hyperlink"/>
            <w:rFonts w:ascii="Times New Roman" w:hAnsi="Times New Roman"/>
            <w:b w:val="false"/>
            <w:i w:val="false"/>
            <w:color w:val="000000"/>
            <w:sz w:val="22"/>
          </w:rPr>
          <w:t>85.22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2506.32(19)</w:t>
      </w:r>
      <w:r>
        <w:rPr>
          <w:rFonts w:ascii="Times New Roman" w:hAnsi="Times New Roman"/>
          <w:b w:val="false"/>
          <w:i w:val="false"/>
          <w:color w:val="000000"/>
          <w:sz w:val="22"/>
        </w:rPr>
        <w:t> </w:t>
      </w:r>
      <w:r>
        <w:rPr>
          <w:rFonts w:ascii="Times New Roman" w:hAnsi="Times New Roman"/>
          <w:b w:val="false"/>
          <w:i w:val="false"/>
          <w:color w:val="000000"/>
          <w:sz w:val="22"/>
        </w:rPr>
        <w:t>Matters that would be a contested case if there were a dispute over the existence of material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2506.32(20)</w:t>
      </w:r>
      <w:r>
        <w:rPr>
          <w:rFonts w:ascii="Times New Roman" w:hAnsi="Times New Roman"/>
          <w:b w:val="false"/>
          <w:i w:val="false"/>
          <w:color w:val="000000"/>
          <w:sz w:val="22"/>
        </w:rPr>
        <w:t> </w:t>
      </w:r>
      <w:r>
        <w:rPr>
          <w:rFonts w:ascii="Times New Roman" w:hAnsi="Times New Roman"/>
          <w:b w:val="false"/>
          <w:i w:val="false"/>
          <w:color w:val="000000"/>
          <w:sz w:val="22"/>
        </w:rPr>
        <w:t>Any other issue determinable upon evidential hearing that is under the jurisdiction of the workers’ compensation commissioner.</w:t>
      </w:r>
    </w:p>
    <w:p>
      <w:pPr>
        <w:spacing w:before="0" w:after="0"/>
        <w:ind w:left="120"/>
        <w:jc w:val="both"/>
      </w:pPr>
      <w:r>
        <w:rPr>
          <w:rFonts w:ascii="Times New Roman" w:hAnsi="Times New Roman"/>
          <w:b w:val="false"/>
          <w:i w:val="false"/>
          <w:color w:val="000000"/>
          <w:sz w:val="22"/>
        </w:rPr>
        <w:t xml:space="preserve">There shall be no hearing in contested cases pursuant to subrules </w:t>
      </w:r>
      <w:hyperlink r:id="rId29">
        <w:r>
          <w:rPr>
            <w:rStyle w:val="Hyperlink"/>
            <w:rFonts w:ascii="Times New Roman" w:hAnsi="Times New Roman"/>
            <w:b w:val="false"/>
            <w:i w:val="false"/>
            <w:color w:val="000000"/>
            <w:sz w:val="22"/>
          </w:rPr>
          <w:t>2506.32(8)</w:t>
        </w:r>
      </w:hyperlink>
      <w:r>
        <w:rPr>
          <w:rFonts w:ascii="Times New Roman" w:hAnsi="Times New Roman"/>
          <w:b w:val="false"/>
          <w:i w:val="false"/>
          <w:color w:val="000000"/>
          <w:sz w:val="22"/>
        </w:rPr>
        <w:t xml:space="preserve"> through </w:t>
      </w:r>
      <w:hyperlink r:id="rId30">
        <w:r>
          <w:rPr>
            <w:rStyle w:val="Hyperlink"/>
            <w:rFonts w:ascii="Times New Roman" w:hAnsi="Times New Roman"/>
            <w:b w:val="false"/>
            <w:i w:val="false"/>
            <w:color w:val="000000"/>
            <w:sz w:val="22"/>
          </w:rPr>
          <w:t>2506.32(12)</w:t>
        </w:r>
      </w:hyperlink>
      <w:r>
        <w:rPr>
          <w:rFonts w:ascii="Times New Roman" w:hAnsi="Times New Roman"/>
          <w:b w:val="false"/>
          <w:i w:val="false"/>
          <w:color w:val="000000"/>
          <w:sz w:val="22"/>
        </w:rPr>
        <w:t xml:space="preserve"> unless otherwise ordered or requested in writing by the petition in the original notice or petition or by the respondent within ten days following the time allowed by these rules for appearance.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and chapter </w:t>
      </w:r>
      <w:hyperlink r:id="rId3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3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17.pdf" Type="http://schemas.openxmlformats.org/officeDocument/2006/relationships/hyperlink" Id="rId4"/>
    <Relationship TargetMode="External" Target="https://www.legis.iowa.gov/docs/ico/chapter/10A.317.pdf" Type="http://schemas.openxmlformats.org/officeDocument/2006/relationships/hyperlink" Id="rId5"/>
    <Relationship TargetMode="External" Target="https://www.legis.iowa.gov/docs/ico/chapter/85.27.pdf" Type="http://schemas.openxmlformats.org/officeDocument/2006/relationships/hyperlink" Id="rId6"/>
    <Relationship TargetMode="External" Target="https://www.legis.iowa.gov/docs/ico/chapter/85.28.pdf" Type="http://schemas.openxmlformats.org/officeDocument/2006/relationships/hyperlink" Id="rId7"/>
    <Relationship TargetMode="External" Target="https://www.legis.iowa.gov/docs/ico/chapter/85.29.pdf" Type="http://schemas.openxmlformats.org/officeDocument/2006/relationships/hyperlink" Id="rId8"/>
    <Relationship TargetMode="External" Target="https://www.legis.iowa.gov/docs/ico/chapter/85.31.pdf" Type="http://schemas.openxmlformats.org/officeDocument/2006/relationships/hyperlink" Id="rId9"/>
    <Relationship TargetMode="External" Target="https://www.legis.iowa.gov/docs/ico/chapter/85.42.pdf" Type="http://schemas.openxmlformats.org/officeDocument/2006/relationships/hyperlink" Id="rId10"/>
    <Relationship TargetMode="External" Target="https://www.legis.iowa.gov/docs/ico/chapter/85.44.pdf" Type="http://schemas.openxmlformats.org/officeDocument/2006/relationships/hyperlink" Id="rId11"/>
    <Relationship TargetMode="External" Target="https://www.legis.iowa.gov/docs/ico/chapter/85.43.pdf" Type="http://schemas.openxmlformats.org/officeDocument/2006/relationships/hyperlink" Id="rId12"/>
    <Relationship TargetMode="External" Target="https://www.legis.iowa.gov/docs/ico/chapter/85.63.pdf" Type="http://schemas.openxmlformats.org/officeDocument/2006/relationships/hyperlink" Id="rId13"/>
    <Relationship TargetMode="External" Target="https://www.legis.iowa.gov/docs/ico/chapter/85.70.pdf" Type="http://schemas.openxmlformats.org/officeDocument/2006/relationships/hyperlink" Id="rId14"/>
    <Relationship TargetMode="External" Target="https://www.legis.iowa.gov/docs/ico/chapter/85.70.pdf" Type="http://schemas.openxmlformats.org/officeDocument/2006/relationships/hyperlink" Id="rId15"/>
    <Relationship TargetMode="External" Target="https://www.legis.iowa.gov/docs/ico/chapter/10A.327.pdf" Type="http://schemas.openxmlformats.org/officeDocument/2006/relationships/hyperlink" Id="rId16"/>
    <Relationship TargetMode="External" Target="https://www.legis.iowa.gov/docs/ico/chapter/85.45.pdf" Type="http://schemas.openxmlformats.org/officeDocument/2006/relationships/hyperlink" Id="rId17"/>
    <Relationship TargetMode="External" Target="https://www.legis.iowa.gov/docs/ico/chapter/85.39.pdf" Type="http://schemas.openxmlformats.org/officeDocument/2006/relationships/hyperlink" Id="rId18"/>
    <Relationship TargetMode="External" Target="https://www.legis.iowa.gov/docs/ico/chapter/10A.pdf" Type="http://schemas.openxmlformats.org/officeDocument/2006/relationships/hyperlink" Id="rId19"/>
    <Relationship TargetMode="External" Target="https://www.legis.iowa.gov/docs/ico/chapter/85.pdf" Type="http://schemas.openxmlformats.org/officeDocument/2006/relationships/hyperlink" Id="rId20"/>
    <Relationship TargetMode="External" Target="https://www.legis.iowa.gov/docs/ico/chapter/85A.pdf" Type="http://schemas.openxmlformats.org/officeDocument/2006/relationships/hyperlink" Id="rId21"/>
    <Relationship TargetMode="External" Target="https://www.legis.iowa.gov/docs/ico/chapter/85B.pdf" Type="http://schemas.openxmlformats.org/officeDocument/2006/relationships/hyperlink" Id="rId22"/>
    <Relationship TargetMode="External" Target="https://www.legis.iowa.gov/docs/ico/chapter/87.pdf" Type="http://schemas.openxmlformats.org/officeDocument/2006/relationships/hyperlink" Id="rId23"/>
    <Relationship TargetMode="External" Target="https://www.legis.iowa.gov/docs/ico/chapter/85.27.pdf" Type="http://schemas.openxmlformats.org/officeDocument/2006/relationships/hyperlink" Id="rId24"/>
    <Relationship TargetMode="External" Target="https://www.legis.iowa.gov/docs/ico/chapter/85.21.pdf" Type="http://schemas.openxmlformats.org/officeDocument/2006/relationships/hyperlink" Id="rId25"/>
    <Relationship TargetMode="External" Target="https://www.legis.iowa.gov/docs/ico/chapter/85.30.pdf" Type="http://schemas.openxmlformats.org/officeDocument/2006/relationships/hyperlink" Id="rId26"/>
    <Relationship TargetMode="External" Target="https://www.legis.iowa.gov/docs/ico/chapter/10A.315.pdf" Type="http://schemas.openxmlformats.org/officeDocument/2006/relationships/hyperlink" Id="rId27"/>
    <Relationship TargetMode="External" Target="https://www.legis.iowa.gov/docs/ico/chapter/85.22.pdf" Type="http://schemas.openxmlformats.org/officeDocument/2006/relationships/hyperlink" Id="rId28"/>
    <Relationship TargetMode="External" Target="https://www.legis.iowa.gov/docs/iac/rule/876.2506.32.pdf" Type="http://schemas.openxmlformats.org/officeDocument/2006/relationships/hyperlink" Id="rId29"/>
    <Relationship TargetMode="External" Target="https://www.legis.iowa.gov/docs/iac/rule/876.2506.32.pdf" Type="http://schemas.openxmlformats.org/officeDocument/2006/relationships/hyperlink" Id="rId30"/>
    <Relationship TargetMode="External" Target="https://www.legis.iowa.gov/docs/ico/chapter/10A.310.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co/chapter/85.pdf" Type="http://schemas.openxmlformats.org/officeDocument/2006/relationships/hyperlink" Id="rId33"/>
    <Relationship Target="footer.xml" Type="http://schemas.openxmlformats.org/officeDocument/2006/relationships/footer"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