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875—156.8</w:t>
      </w:r>
      <w:r>
        <w:rPr>
          <w:rFonts w:ascii="Times New Roman" w:hAnsi="Times New Roman"/>
          <w:b/>
          <w:i w:val="false"/>
          <w:color w:val="000000"/>
          <w:sz w:val="22"/>
        </w:rPr>
        <w:t xml:space="preserve">(73A) </w:t>
      </w:r>
      <w:r>
        <w:rPr>
          <w:rFonts w:ascii="Times New Roman" w:hAnsi="Times New Roman"/>
          <w:b/>
          <w:i w:val="false"/>
          <w:color w:val="000000"/>
          <w:sz w:val="22"/>
        </w:rPr>
        <w:t xml:space="preserve">Compliance with federal law. </w:t>
      </w:r>
      <w:r>
        <w:rPr>
          <w:rFonts w:ascii="Times New Roman" w:hAnsi="Times New Roman"/>
          <w:b w:val="false"/>
          <w:i w:val="false"/>
          <w:color w:val="000000"/>
          <w:sz w:val="22"/>
        </w:rPr>
        <w:t>If it is determined that application of this chapter and the Act may cause denial of federal funds which would otherwise be available for a public improvement, or would otherwise be inconsistent with requirements of any federal law or regulation, the application of this chapter shall be suspended to the extent necessary to prevent denial of the funds or to eliminate the inconsistency with federal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