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875—156.7</w:t>
      </w:r>
      <w:r>
        <w:rPr>
          <w:rFonts w:ascii="Times New Roman" w:hAnsi="Times New Roman"/>
          <w:b/>
          <w:i w:val="false"/>
          <w:color w:val="000000"/>
          <w:sz w:val="22"/>
        </w:rPr>
        <w:t xml:space="preserve">(73A) </w:t>
      </w:r>
      <w:r>
        <w:rPr>
          <w:rFonts w:ascii="Times New Roman" w:hAnsi="Times New Roman"/>
          <w:b/>
          <w:i w:val="false"/>
          <w:color w:val="000000"/>
          <w:sz w:val="22"/>
        </w:rPr>
        <w:t xml:space="preserve">Remedies. </w:t>
      </w:r>
      <w:r>
        <w:rPr>
          <w:rFonts w:ascii="Times New Roman" w:hAnsi="Times New Roman"/>
          <w:b w:val="false"/>
          <w:i w:val="false"/>
          <w:color w:val="000000"/>
          <w:sz w:val="22"/>
        </w:rPr>
        <w:t>Following the conclusion of the informal conference, or following the expiration of the time in which a party may file a written request for an informal conference, the division may pursue the following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color w:val="000000"/>
          <w:sz w:val="22"/>
        </w:rPr>
        <w:t xml:space="preserve">Injunctive relief. </w:t>
      </w:r>
      <w:r>
        <w:rPr>
          <w:rFonts w:ascii="Times New Roman" w:hAnsi="Times New Roman"/>
          <w:b w:val="false"/>
          <w:i w:val="false"/>
          <w:color w:val="000000"/>
          <w:sz w:val="22"/>
        </w:rPr>
        <w:t>If the division determines that a violation of the Act has occurred, the division may sue for injunctive relief against the awarding of a contract, the undertaking of a public improvement, or the continuation of a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color w:val="000000"/>
          <w:sz w:val="22"/>
        </w:rPr>
        <w:t xml:space="preserve">Civil penalty. </w:t>
      </w:r>
      <w:r>
        <w:rPr>
          <w:rFonts w:ascii="Times New Roman" w:hAnsi="Times New Roman"/>
          <w:b w:val="false"/>
          <w:i w:val="false"/>
          <w:color w:val="000000"/>
          <w:sz w:val="22"/>
        </w:rPr>
        <w:t>Any person or entity that violates the provisions of this chapter is subject to a civil penalty in an amount not to exceed $1,000 for each violation found in a first investigation by the division, not to exceed $5,000 for each violation found in a second investigation by the division, and not to exceed $15,000 for a third or subsequent violation found in any subsequent investigation by the division. Each violation of this chapter for each worker and for each day the violation continues constitutes a separate and distinct violation. In determining the amount of the penalty, the division shall consider the appropriateness of the penalty to the person or entity charged, upon determination of the gravity of the violation(s). The collection of these penalties shall be enforced in a civil action brought by the attorney general on behalf of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