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875—156.6</w:t>
      </w:r>
      <w:r>
        <w:rPr>
          <w:rFonts w:ascii="Times New Roman" w:hAnsi="Times New Roman"/>
          <w:b/>
          <w:i w:val="false"/>
          <w:color w:val="000000"/>
          <w:sz w:val="22"/>
        </w:rPr>
        <w:t xml:space="preserve">(73A) </w:t>
      </w:r>
      <w:r>
        <w:rPr>
          <w:rFonts w:ascii="Times New Roman" w:hAnsi="Times New Roman"/>
          <w:b/>
          <w:i w:val="false"/>
          <w:color w:val="000000"/>
          <w:sz w:val="22"/>
        </w:rPr>
        <w:t xml:space="preserve">Investigations; determination of civil penalty. </w:t>
      </w:r>
      <w:r>
        <w:rPr>
          <w:rFonts w:ascii="Times New Roman" w:hAnsi="Times New Roman"/>
          <w:b w:val="false"/>
          <w:i w:val="false"/>
          <w:color w:val="000000"/>
          <w:sz w:val="22"/>
        </w:rPr>
        <w:t>The commissioner or an authorized designee shall cause an investigation to be made into charges of violations of the Act, including allegations set forth in a written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156.6(1)</w:t>
      </w:r>
      <w:r>
        <w:rPr>
          <w:rFonts w:ascii="Times New Roman" w:hAnsi="Times New Roman"/>
          <w:b w:val="false"/>
          <w:i w:val="false"/>
          <w:color w:val="000000"/>
          <w:sz w:val="22"/>
        </w:rPr>
        <w:t> </w:t>
      </w:r>
      <w:r>
        <w:rPr>
          <w:rFonts w:ascii="Times New Roman" w:hAnsi="Times New Roman"/>
          <w:b w:val="false"/>
          <w:i/>
          <w:color w:val="000000"/>
          <w:sz w:val="22"/>
        </w:rPr>
        <w:t xml:space="preserve">Investigative powers. </w:t>
      </w:r>
      <w:r>
        <w:rPr>
          <w:rFonts w:ascii="Times New Roman" w:hAnsi="Times New Roman"/>
          <w:b w:val="false"/>
          <w:i w:val="false"/>
          <w:color w:val="000000"/>
          <w:sz w:val="22"/>
        </w:rPr>
        <w:t>The commissioner or the authorized designee shall have the following powers: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Hearings. </w:t>
      </w:r>
      <w:r>
        <w:rPr>
          <w:rFonts w:ascii="Times New Roman" w:hAnsi="Times New Roman"/>
          <w:b w:val="false"/>
          <w:i w:val="false"/>
          <w:color w:val="000000"/>
          <w:sz w:val="22"/>
        </w:rPr>
        <w:t>The commissioner may hold hearings and investigate charges of violations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Entry into place of employment. </w:t>
      </w:r>
      <w:r>
        <w:rPr>
          <w:rFonts w:ascii="Times New Roman" w:hAnsi="Times New Roman"/>
          <w:b w:val="false"/>
          <w:i w:val="false"/>
          <w:color w:val="000000"/>
          <w:sz w:val="22"/>
        </w:rPr>
        <w:t>The commissioner may, consistent with due process of law, enter any place of employment to inspect records concerning labor force residency, to question an employer or employee, and to investigate those facts, conditions, or matters as are deemed appropriate in determining whether any person has violated the provisions of the Act. The commissioner shall only make an entry into a place of employment in response to a written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Residency of workers. </w:t>
      </w:r>
      <w:r>
        <w:rPr>
          <w:rFonts w:ascii="Times New Roman" w:hAnsi="Times New Roman"/>
          <w:b w:val="false"/>
          <w:i w:val="false"/>
          <w:color w:val="000000"/>
          <w:sz w:val="22"/>
        </w:rPr>
        <w:t>The commissioner may investigate and ascertain the residency of a worker engaged in any public improvement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Oaths; depositions; subpoenas. </w:t>
      </w:r>
      <w:r>
        <w:rPr>
          <w:rFonts w:ascii="Times New Roman" w:hAnsi="Times New Roman"/>
          <w:b w:val="false"/>
          <w:i w:val="false"/>
          <w:color w:val="000000"/>
          <w:sz w:val="22"/>
        </w:rPr>
        <w:t>The commissioner may administer oaths, take or cause to be taken deposition of witnesses, and require by subpoena the attendance and testimony of witnesses and the production of all books, registers, payrolls, and other evidence relevant to a matter under investigation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Employment of personnel. </w:t>
      </w:r>
      <w:r>
        <w:rPr>
          <w:rFonts w:ascii="Times New Roman" w:hAnsi="Times New Roman"/>
          <w:b w:val="false"/>
          <w:i w:val="false"/>
          <w:color w:val="000000"/>
          <w:sz w:val="22"/>
        </w:rPr>
        <w:t xml:space="preserve">The commissioner may employ qualified personnel as are necessary for the enforcement of Iowa Code section </w:t>
      </w:r>
      <w:hyperlink r:id="rId4">
        <w:r>
          <w:rPr>
            <w:rStyle w:val="Hyperlink"/>
            <w:rFonts w:ascii="Times New Roman" w:hAnsi="Times New Roman"/>
            <w:b w:val="false"/>
            <w:i w:val="false"/>
            <w:color w:val="000000"/>
            <w:sz w:val="22"/>
          </w:rPr>
          <w:t>73A.21</w:t>
        </w:r>
      </w:hyperlink>
      <w:r>
        <w:rPr>
          <w:rFonts w:ascii="Times New Roman" w:hAnsi="Times New Roman"/>
          <w:b w:val="false"/>
          <w:i w:val="false"/>
          <w:color w:val="000000"/>
          <w:sz w:val="22"/>
        </w:rPr>
        <w:t xml:space="preserve">. The personnel shall be employed pursuant to the merit system provisions of Iowa Code chapter </w:t>
      </w:r>
      <w:hyperlink r:id="rId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subchapter IV.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Request for records. </w:t>
      </w:r>
      <w:r>
        <w:rPr>
          <w:rFonts w:ascii="Times New Roman" w:hAnsi="Times New Roman"/>
          <w:b w:val="false"/>
          <w:i w:val="false"/>
          <w:color w:val="000000"/>
          <w:sz w:val="22"/>
        </w:rPr>
        <w:t xml:space="preserve">The commissioner shall require a contractor or subcontractor to file, within 10 days of receipt of a request, any records enumerated in rule </w:t>
      </w:r>
      <w:hyperlink r:id="rId6">
        <w:r>
          <w:rPr>
            <w:rStyle w:val="Hyperlink"/>
            <w:rFonts w:ascii="Times New Roman" w:hAnsi="Times New Roman"/>
            <w:b w:val="false"/>
            <w:i w:val="false"/>
            <w:color w:val="000000"/>
            <w:sz w:val="22"/>
          </w:rPr>
          <w:t>875—156.5</w:t>
        </w:r>
      </w:hyperlink>
      <w:r>
        <w:rPr>
          <w:rFonts w:ascii="Times New Roman" w:hAnsi="Times New Roman"/>
          <w:b w:val="false"/>
          <w:i w:val="false"/>
          <w:color w:val="000000"/>
          <w:sz w:val="22"/>
        </w:rPr>
        <w:t>(73A). If the contractor or subcontractor fails to provide the requested records within 10 days, the commissioner may direct, within 15 days after the end of the 10-day period, that the fiscal or financial office charged with the custody and disbursement of funds of the public body that contracted for construction of the public improvement or undertook the public improvement, to withhold immediately from payment to the contractor or subcontractor up to 25 percent of the amount to be paid to the contractor or subcontractor under the terms of the contract or written instrument under which the public improvement is being performed. The amount withheld shall be immediately released upon receipt by the public body of a notice from the commissioner indicating that the request for records as required by this paragraph has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156.6(2)</w:t>
      </w:r>
      <w:r>
        <w:rPr>
          <w:rFonts w:ascii="Times New Roman" w:hAnsi="Times New Roman"/>
          <w:b w:val="false"/>
          <w:i w:val="false"/>
          <w:color w:val="000000"/>
          <w:sz w:val="22"/>
        </w:rPr>
        <w:t> </w:t>
      </w:r>
      <w:r>
        <w:rPr>
          <w:rFonts w:ascii="Times New Roman" w:hAnsi="Times New Roman"/>
          <w:b w:val="false"/>
          <w:i/>
          <w:color w:val="000000"/>
          <w:sz w:val="22"/>
        </w:rPr>
        <w:t xml:space="preserve">Division determination. </w:t>
      </w:r>
      <w:r>
        <w:rPr>
          <w:rFonts w:ascii="Times New Roman" w:hAnsi="Times New Roman"/>
          <w:b w:val="false"/>
          <w:i w:val="false"/>
          <w:color w:val="000000"/>
          <w:sz w:val="22"/>
        </w:rPr>
        <w:t>Upon conclusion of an investigation, the commissioner or an authorized designee shall issue a written determination to the party that was the subject of the investigation. The determination shall indicate whether or not the division finds a violation of the Act by the party. If the determination indicates that the party engaged in a violation of the Act, the determination shall also indicate the remedies the division intends to pursue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156.6(3)</w:t>
      </w:r>
      <w:r>
        <w:rPr>
          <w:rFonts w:ascii="Times New Roman" w:hAnsi="Times New Roman"/>
          <w:b w:val="false"/>
          <w:i w:val="false"/>
          <w:color w:val="000000"/>
          <w:sz w:val="22"/>
        </w:rPr>
        <w:t> </w:t>
      </w:r>
      <w:r>
        <w:rPr>
          <w:rFonts w:ascii="Times New Roman" w:hAnsi="Times New Roman"/>
          <w:b w:val="false"/>
          <w:i/>
          <w:color w:val="000000"/>
          <w:sz w:val="22"/>
        </w:rPr>
        <w:t xml:space="preserve">Informal conference. </w:t>
      </w:r>
      <w:r>
        <w:rPr>
          <w:rFonts w:ascii="Times New Roman" w:hAnsi="Times New Roman"/>
          <w:b w:val="false"/>
          <w:i w:val="false"/>
          <w:color w:val="000000"/>
          <w:sz w:val="22"/>
        </w:rPr>
        <w:t>A party seeking review of the division’s determination pursuant to this rule may file a written request for an informal conference. The request must be received by the division within 15 days after the date of issuance of the division’s determination. During the conference, the party seeking review may present written or oral information and arguments as to why the division’s determination should be amended or vacated. The division shall consider the information and arguments presented and issue a written decision advising all parties of the outcome of the informal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1271C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3A.21.pdf" Type="http://schemas.openxmlformats.org/officeDocument/2006/relationships/hyperlink" Id="rId4"/>
    <Relationship TargetMode="External" Target="https://www.legis.iowa.gov/docs/ico/chapter/8A.pdf" Type="http://schemas.openxmlformats.org/officeDocument/2006/relationships/hyperlink" Id="rId5"/>
    <Relationship TargetMode="External" Target="https://www.legis.iowa.gov/docs/iac/rule/875.156.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