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875—156.5</w:t>
      </w:r>
      <w:r>
        <w:rPr>
          <w:rFonts w:ascii="Times New Roman" w:hAnsi="Times New Roman"/>
          <w:b/>
          <w:i w:val="false"/>
          <w:color w:val="000000"/>
          <w:sz w:val="22"/>
        </w:rPr>
        <w:t xml:space="preserve">(73A) </w:t>
      </w:r>
      <w:r>
        <w:rPr>
          <w:rFonts w:ascii="Times New Roman" w:hAnsi="Times New Roman"/>
          <w:b/>
          <w:i w:val="false"/>
          <w:color w:val="000000"/>
          <w:sz w:val="22"/>
        </w:rPr>
        <w:t xml:space="preserve">Nonresident bidder record-keeping requirements. </w:t>
      </w:r>
      <w:r>
        <w:rPr>
          <w:rFonts w:ascii="Times New Roman" w:hAnsi="Times New Roman"/>
          <w:b w:val="false"/>
          <w:i w:val="false"/>
          <w:color w:val="000000"/>
          <w:sz w:val="22"/>
        </w:rPr>
        <w:t>While participating in a public improvement, a nonresident bidder from a home state or foreign country with a resident labor force preference shall make and keep, for a period of not less than three years, accurate records of all workers employed by the contractor or subcontractor on the public improvement. The records shall include each worker’s name, address, telephone number if available, social security number, trade classification, and starting and ending date of employment.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1271C</w:t>
      </w:r>
      <w:r>
        <w:rPr>
          <w:rFonts w:ascii="Times New Roman" w:hAnsi="Times New Roman"/>
          <w:b w:val="false"/>
          <w:i w:val="false"/>
          <w:color w:val="000000"/>
          <w:sz w:val="16"/>
        </w:rPr>
        <w:t>, IAB 1/8/14, effective 2/12/14</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