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875—156.4</w:t>
      </w:r>
      <w:r>
        <w:rPr>
          <w:rFonts w:ascii="Times New Roman" w:hAnsi="Times New Roman"/>
          <w:b/>
          <w:i w:val="false"/>
          <w:color w:val="000000"/>
          <w:sz w:val="22"/>
        </w:rPr>
        <w:t xml:space="preserve">(73A) </w:t>
      </w:r>
      <w:r>
        <w:rPr>
          <w:rFonts w:ascii="Times New Roman" w:hAnsi="Times New Roman"/>
          <w:b/>
          <w:i w:val="false"/>
          <w:color w:val="000000"/>
          <w:sz w:val="22"/>
        </w:rPr>
        <w:t xml:space="preserve">Complaints regarding alleged violations of the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with information regarding a violation of the Act may submit a written complaint to the commissioner. Any complaint must provide the information required pursuant to subrule </w:t>
      </w:r>
      <w:hyperlink r:id="rId4">
        <w:r>
          <w:rPr>
            <w:rStyle w:val="Hyperlink"/>
            <w:rFonts w:ascii="Times New Roman" w:hAnsi="Times New Roman"/>
            <w:b w:val="false"/>
            <w:i w:val="false"/>
            <w:color w:val="000000"/>
            <w:sz w:val="22"/>
          </w:rPr>
          <w:t>156.4(2)</w:t>
        </w:r>
      </w:hyperlink>
      <w:r>
        <w:rPr>
          <w:rFonts w:ascii="Times New Roman" w:hAnsi="Times New Roman"/>
          <w:b w:val="false"/>
          <w:i w:val="false"/>
          <w:color w:val="000000"/>
          <w:sz w:val="22"/>
        </w:rPr>
        <w:t xml:space="preserve"> or as much of such information as is reasonably practicable under the circumstances. The completed written complaint form shall be mailed to the commissioner at Labor Services Division,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color w:val="000000"/>
          <w:sz w:val="22"/>
        </w:rPr>
        <w:t xml:space="preserve">Written complaint form. </w:t>
      </w:r>
      <w:r>
        <w:rPr>
          <w:rFonts w:ascii="Times New Roman" w:hAnsi="Times New Roman"/>
          <w:b w:val="false"/>
          <w:i w:val="false"/>
          <w:color w:val="000000"/>
          <w:sz w:val="22"/>
        </w:rPr>
        <w:t xml:space="preserve">The commissioner shall prepare a written complaint form that a person with information regarding a potential violation of the Act may submit pursuant to subrule </w:t>
      </w:r>
      <w:hyperlink r:id="rId5">
        <w:r>
          <w:rPr>
            <w:rStyle w:val="Hyperlink"/>
            <w:rFonts w:ascii="Times New Roman" w:hAnsi="Times New Roman"/>
            <w:b w:val="false"/>
            <w:i w:val="false"/>
            <w:color w:val="000000"/>
            <w:sz w:val="22"/>
          </w:rPr>
          <w:t>156.4(1)</w:t>
        </w:r>
      </w:hyperlink>
      <w:r>
        <w:rPr>
          <w:rFonts w:ascii="Times New Roman" w:hAnsi="Times New Roman"/>
          <w:b w:val="false"/>
          <w:i w:val="false"/>
          <w:color w:val="000000"/>
          <w:sz w:val="22"/>
        </w:rPr>
        <w:t>. The written complaint form shall request the following information: the name, address, telephone number, and email address of the complainant; the name of the bidder that is believed to have violated the Act; a description of any relationships between the complainant and the bidder; an identification of the public body to which the bidder submitted a bid; the home state or foreign country of the bidder; a description of the goods and services provided under the bid; and such additional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written complaint form. </w:t>
      </w:r>
      <w:r>
        <w:rPr>
          <w:rFonts w:ascii="Times New Roman" w:hAnsi="Times New Roman"/>
          <w:b w:val="false"/>
          <w:i w:val="false"/>
          <w:color w:val="000000"/>
          <w:sz w:val="22"/>
        </w:rPr>
        <w:t>The written complaint form shall be available in all division offices and on the department of workforce development’s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 xml:space="preserve">; </w:t>
      </w:r>
      <w:r>
        <w:rPr>
          <w:rFonts w:ascii="Times New Roman" w:hAnsi="Times New Roman"/>
          <w:b/>
          <w:i w:val="false"/>
          <w:color w:val="000000"/>
          <w:sz w:val="16"/>
        </w:rPr>
        <w:t>ARC 4639C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5022C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156.4.pdf" Type="http://schemas.openxmlformats.org/officeDocument/2006/relationships/hyperlink" Id="rId4"/>
    <Relationship TargetMode="External" Target="https://www.legis.iowa.gov/docs/iac/rule/875.156.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