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875—156.1</w:t>
      </w:r>
      <w:r>
        <w:rPr>
          <w:rFonts w:ascii="Times New Roman" w:hAnsi="Times New Roman"/>
          <w:b/>
          <w:i w:val="false"/>
          <w:color w:val="000000"/>
          <w:sz w:val="22"/>
        </w:rPr>
        <w:t xml:space="preserve">(73A) </w:t>
      </w:r>
      <w:r>
        <w:rPr>
          <w:rFonts w:ascii="Times New Roman" w:hAnsi="Times New Roman"/>
          <w:b/>
          <w:i w:val="false"/>
          <w:color w:val="000000"/>
          <w:sz w:val="22"/>
        </w:rPr>
        <w:t xml:space="preserve">Purpose, scope and definitions. </w:t>
      </w:r>
      <w:r>
        <w:rPr>
          <w:rFonts w:ascii="Times New Roman" w:hAnsi="Times New Roman"/>
          <w:b w:val="false"/>
          <w:i w:val="false"/>
          <w:color w:val="000000"/>
          <w:sz w:val="22"/>
        </w:rPr>
        <w:t xml:space="preserve">These rules institute administrative and operational procedures for enforcement of the Act. The definitions and interpretations contained in Iowa Code section </w:t>
      </w:r>
      <w:hyperlink r:id="rId4">
        <w:r>
          <w:rPr>
            <w:rStyle w:val="Hyperlink"/>
            <w:rFonts w:ascii="Times New Roman" w:hAnsi="Times New Roman"/>
            <w:b w:val="false"/>
            <w:i w:val="false"/>
            <w:color w:val="000000"/>
            <w:sz w:val="22"/>
          </w:rPr>
          <w:t>73A.21</w:t>
        </w:r>
      </w:hyperlink>
      <w:r>
        <w:rPr>
          <w:rFonts w:ascii="Times New Roman" w:hAnsi="Times New Roman"/>
          <w:b w:val="false"/>
          <w:i w:val="false"/>
          <w:color w:val="000000"/>
          <w:sz w:val="22"/>
        </w:rPr>
        <w:t xml:space="preserve"> shall be applicable to such terms when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Iowa Code section </w:t>
      </w:r>
      <w:hyperlink r:id="rId5">
        <w:r>
          <w:rPr>
            <w:rStyle w:val="Hyperlink"/>
            <w:rFonts w:ascii="Times New Roman" w:hAnsi="Times New Roman"/>
            <w:b w:val="false"/>
            <w:i w:val="false"/>
            <w:color w:val="000000"/>
            <w:sz w:val="22"/>
          </w:rPr>
          <w:t>73A.21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“Affiliate,”</w:t>
      </w:r>
      <w:r>
        <w:rPr>
          <w:rFonts w:ascii="Times New Roman" w:hAnsi="Times New Roman"/>
          <w:b w:val="false"/>
          <w:i w:val="false"/>
          <w:color w:val="000000"/>
          <w:sz w:val="22"/>
        </w:rPr>
        <w:t> </w:t>
      </w:r>
      <w:r>
        <w:rPr>
          <w:rFonts w:ascii="Times New Roman" w:hAnsi="Times New Roman"/>
          <w:b w:val="false"/>
          <w:i w:val="false"/>
          <w:color w:val="000000"/>
          <w:sz w:val="22"/>
        </w:rPr>
        <w:t>when used with respect to any specified person or entity, means another person or entity that, either directly or indirectly through one or more intermediaries, controls, or is controlled by, or is under common control or ownership with, such specified person or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labor commissioner appointed pursuant to Iowa Code section </w:t>
      </w:r>
      <w:hyperlink r:id="rId6">
        <w:r>
          <w:rPr>
            <w:rStyle w:val="Hyperlink"/>
            <w:rFonts w:ascii="Times New Roman" w:hAnsi="Times New Roman"/>
            <w:b w:val="false"/>
            <w:i w:val="false"/>
            <w:color w:val="000000"/>
            <w:sz w:val="22"/>
          </w:rPr>
          <w:t>91.2</w:t>
        </w:r>
      </w:hyperlink>
      <w:r>
        <w:rPr>
          <w:rFonts w:ascii="Times New Roman" w:hAnsi="Times New Roman"/>
          <w:b w:val="false"/>
          <w:i w:val="false"/>
          <w:color w:val="000000"/>
          <w:sz w:val="22"/>
        </w:rPr>
        <w:t>, or the labor commissioner’s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“Division”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division of labor of the department of workforce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“Nonresident bidder”</w:t>
      </w:r>
      <w:r>
        <w:rPr>
          <w:rFonts w:ascii="Times New Roman" w:hAnsi="Times New Roman"/>
          <w:b w:val="false"/>
          <w:i w:val="false"/>
          <w:color w:val="000000"/>
          <w:sz w:val="22"/>
        </w:rPr>
        <w:t> </w:t>
      </w:r>
      <w:r>
        <w:rPr>
          <w:rFonts w:ascii="Times New Roman" w:hAnsi="Times New Roman"/>
          <w:b w:val="false"/>
          <w:i w:val="false"/>
          <w:color w:val="000000"/>
          <w:sz w:val="22"/>
        </w:rPr>
        <w:t>means a person or entity that does not meet the definition of a resident bidder, including any affiliate of any person or entity that is a nonresident bidder.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“Parent,”</w:t>
      </w:r>
      <w:r>
        <w:rPr>
          <w:rFonts w:ascii="Times New Roman" w:hAnsi="Times New Roman"/>
          <w:b w:val="false"/>
          <w:i w:val="false"/>
          <w:color w:val="000000"/>
          <w:sz w:val="22"/>
        </w:rPr>
        <w:t> </w:t>
      </w:r>
      <w:r>
        <w:rPr>
          <w:rFonts w:ascii="Times New Roman" w:hAnsi="Times New Roman"/>
          <w:b w:val="false"/>
          <w:i w:val="false"/>
          <w:color w:val="000000"/>
          <w:sz w:val="22"/>
        </w:rPr>
        <w:t>when used with respect to any specified person or entity, means an affiliate controlling such specified person or entity directly or indirectly through one or more intermediaries.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body”</w:t>
      </w:r>
      <w:r>
        <w:rPr>
          <w:rFonts w:ascii="Times New Roman" w:hAnsi="Times New Roman"/>
          <w:b w:val="false"/>
          <w:i w:val="false"/>
          <w:color w:val="000000"/>
          <w:sz w:val="22"/>
        </w:rPr>
        <w:t> </w:t>
      </w:r>
      <w:r>
        <w:rPr>
          <w:rFonts w:ascii="Times New Roman" w:hAnsi="Times New Roman"/>
          <w:b w:val="false"/>
          <w:i w:val="false"/>
          <w:color w:val="000000"/>
          <w:sz w:val="22"/>
        </w:rPr>
        <w:t>means the state and any of its political subdivisions, including a school district, public utility, or the state board of regents.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improvement”</w:t>
      </w:r>
      <w:r>
        <w:rPr>
          <w:rFonts w:ascii="Times New Roman" w:hAnsi="Times New Roman"/>
          <w:b w:val="false"/>
          <w:i w:val="false"/>
          <w:color w:val="000000"/>
          <w:sz w:val="22"/>
        </w:rPr>
        <w:t> </w:t>
      </w:r>
      <w:r>
        <w:rPr>
          <w:rFonts w:ascii="Times New Roman" w:hAnsi="Times New Roman"/>
          <w:b w:val="false"/>
          <w:i w:val="false"/>
          <w:color w:val="000000"/>
          <w:sz w:val="22"/>
        </w:rPr>
        <w:t>means a building or other construction work to be paid for in whole or in part by the use of funds of the state, its agencies, and any of its political subdivisions and includes road construction, reconstruction, and maintenance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utility”</w:t>
      </w:r>
      <w:r>
        <w:rPr>
          <w:rFonts w:ascii="Times New Roman" w:hAnsi="Times New Roman"/>
          <w:b w:val="false"/>
          <w:i w:val="false"/>
          <w:color w:val="000000"/>
          <w:sz w:val="22"/>
        </w:rPr>
        <w:t> </w:t>
      </w:r>
      <w:r>
        <w:rPr>
          <w:rFonts w:ascii="Times New Roman" w:hAnsi="Times New Roman"/>
          <w:b w:val="false"/>
          <w:i w:val="false"/>
          <w:color w:val="000000"/>
          <w:sz w:val="22"/>
        </w:rPr>
        <w:t>includes municipally owned utilities and municipally owned waterworks.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 bidder”</w:t>
      </w:r>
      <w:r>
        <w:rPr>
          <w:rFonts w:ascii="Times New Roman" w:hAnsi="Times New Roman"/>
          <w:b w:val="false"/>
          <w:i w:val="false"/>
          <w:color w:val="000000"/>
          <w:sz w:val="22"/>
        </w:rPr>
        <w:t> </w:t>
      </w:r>
      <w:r>
        <w:rPr>
          <w:rFonts w:ascii="Times New Roman" w:hAnsi="Times New Roman"/>
          <w:b w:val="false"/>
          <w:i w:val="false"/>
          <w:color w:val="000000"/>
          <w:sz w:val="22"/>
        </w:rPr>
        <w:t>means a person or entity authorized to transact business in this state and having a place of business for transacting business within the state at which it is conducting and has conducted business for at least three years prior to the date of the first advertisement for the public improvement. If another state or foreign country has a more stringent definition of a resident bidder, the more stringent definition is applicable as to bidders from that state or foreign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 labor force preference”</w:t>
      </w:r>
      <w:r>
        <w:rPr>
          <w:rFonts w:ascii="Times New Roman" w:hAnsi="Times New Roman"/>
          <w:b w:val="false"/>
          <w:i w:val="false"/>
          <w:color w:val="000000"/>
          <w:sz w:val="22"/>
        </w:rPr>
        <w:t> </w:t>
      </w:r>
      <w:r>
        <w:rPr>
          <w:rFonts w:ascii="Times New Roman" w:hAnsi="Times New Roman"/>
          <w:b w:val="false"/>
          <w:i w:val="false"/>
          <w:color w:val="000000"/>
          <w:sz w:val="22"/>
        </w:rPr>
        <w:t>means a requirement in which all or a portion of a labor force working on a public improvement is a resident of a particular state or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“Subsidiary,”</w:t>
      </w:r>
      <w:r>
        <w:rPr>
          <w:rFonts w:ascii="Times New Roman" w:hAnsi="Times New Roman"/>
          <w:b w:val="false"/>
          <w:i w:val="false"/>
          <w:color w:val="000000"/>
          <w:sz w:val="22"/>
        </w:rPr>
        <w:t> </w:t>
      </w:r>
      <w:r>
        <w:rPr>
          <w:rFonts w:ascii="Times New Roman" w:hAnsi="Times New Roman"/>
          <w:b w:val="false"/>
          <w:i w:val="false"/>
          <w:color w:val="000000"/>
          <w:sz w:val="22"/>
        </w:rPr>
        <w:t>when used with respect to any specified person or entity, is an affiliate controlled by such specified person or entity directly or indirectly through one or more intermediaries.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1271C</w:t>
      </w:r>
      <w:r>
        <w:rPr>
          <w:rFonts w:ascii="Times New Roman" w:hAnsi="Times New Roman"/>
          <w:b w:val="false"/>
          <w:i w:val="false"/>
          <w:color w:val="000000"/>
          <w:sz w:val="16"/>
        </w:rPr>
        <w:t>, IAB 1/8/14, effective 2/12/14</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73A.21.pdf" Type="http://schemas.openxmlformats.org/officeDocument/2006/relationships/hyperlink" Id="rId4"/>
    <Relationship TargetMode="External" Target="https://www.legis.iowa.gov/docs/ico/chapter/73A.21.pdf" Type="http://schemas.openxmlformats.org/officeDocument/2006/relationships/hyperlink" Id="rId5"/>
    <Relationship TargetMode="External" Target="https://www.legis.iowa.gov/docs/ico/chapter/91.2.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