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821—1.4</w:t>
      </w:r>
      <w:r>
        <w:rPr>
          <w:rFonts w:ascii="Times New Roman" w:hAnsi="Times New Roman"/>
          <w:b/>
          <w:i w:val="false"/>
          <w:color w:val="000000"/>
          <w:sz w:val="22"/>
        </w:rPr>
        <w:t xml:space="preserve">(47) </w:t>
      </w:r>
      <w:r>
        <w:rPr>
          <w:rFonts w:ascii="Times New Roman" w:hAnsi="Times New Roman"/>
          <w:b/>
          <w:i w:val="false"/>
          <w:color w:val="000000"/>
          <w:sz w:val="22"/>
        </w:rPr>
        <w:t xml:space="preserve">Voter registration staff.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w:t>
      </w:r>
      <w:r>
        <w:rPr>
          <w:rFonts w:ascii="Times New Roman" w:hAnsi="Times New Roman"/>
          <w:b w:val="false"/>
          <w:i w:val="false"/>
          <w:color w:val="000000"/>
          <w:sz w:val="22"/>
        </w:rPr>
        <w:t> </w:t>
      </w:r>
      <w:r>
        <w:rPr>
          <w:rFonts w:ascii="Times New Roman" w:hAnsi="Times New Roman"/>
          <w:b w:val="false"/>
          <w:i/>
          <w:color w:val="000000"/>
          <w:sz w:val="22"/>
        </w:rPr>
        <w:t xml:space="preserve">Voter registration system. </w:t>
      </w:r>
      <w:r>
        <w:rPr>
          <w:rFonts w:ascii="Times New Roman" w:hAnsi="Times New Roman"/>
          <w:b w:val="false"/>
          <w:i w:val="false"/>
          <w:color w:val="000000"/>
          <w:sz w:val="22"/>
        </w:rPr>
        <w:t>Under the general direction of the state registrar of voters, the voter registration staff conducts and directs those activities necessary to implement and maintain the statewide voter registration system. The voter registration staff includes clerical and technical personnel temporarily or permanently assigned by the registrar to support the voter registration function.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w:t>
      </w:r>
      <w:r>
        <w:rPr>
          <w:rFonts w:ascii="Times New Roman" w:hAnsi="Times New Roman"/>
          <w:b w:val="false"/>
          <w:i w:val="false"/>
          <w:color w:val="000000"/>
          <w:sz w:val="22"/>
        </w:rPr>
        <w:t> </w:t>
      </w:r>
      <w:r>
        <w:rPr>
          <w:rFonts w:ascii="Times New Roman" w:hAnsi="Times New Roman"/>
          <w:b w:val="false"/>
          <w:i/>
          <w:color w:val="000000"/>
          <w:sz w:val="22"/>
        </w:rPr>
        <w:t xml:space="preserve">Intergovernmental relations. </w:t>
      </w:r>
      <w:r>
        <w:rPr>
          <w:rFonts w:ascii="Times New Roman" w:hAnsi="Times New Roman"/>
          <w:b w:val="false"/>
          <w:i w:val="false"/>
          <w:color w:val="000000"/>
          <w:sz w:val="22"/>
        </w:rPr>
        <w:t>The voter registration staff is responsible for working with and assisting county commissioners in performing their voter registration duties under the law, including acquisition of voter registration data processing services, preparation of election registers, maintaining voter registration files, processing registration applications and related activities. The staff is responsible for communicating with state and federal court officials to arrange for the provision of information from voter registration records to the courts for use in the jury selection process. The staff is also responsible for ensuring the transfer of electronic registration data from registration agencies and the department of transportation to the appropriate county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w:t>
      </w:r>
      <w:r>
        <w:rPr>
          <w:rFonts w:ascii="Times New Roman" w:hAnsi="Times New Roman"/>
          <w:b w:val="false"/>
          <w:i w:val="false"/>
          <w:color w:val="000000"/>
          <w:sz w:val="22"/>
        </w:rPr>
        <w:t> </w:t>
      </w:r>
      <w:r>
        <w:rPr>
          <w:rFonts w:ascii="Times New Roman" w:hAnsi="Times New Roman"/>
          <w:b w:val="false"/>
          <w:i/>
          <w:color w:val="000000"/>
          <w:sz w:val="22"/>
        </w:rPr>
        <w:t xml:space="preserve">Staff support to the commission. </w:t>
      </w:r>
      <w:r>
        <w:rPr>
          <w:rFonts w:ascii="Times New Roman" w:hAnsi="Times New Roman"/>
          <w:b w:val="false"/>
          <w:i w:val="false"/>
          <w:color w:val="000000"/>
          <w:sz w:val="22"/>
        </w:rPr>
        <w:t>The registrar and voter registration staff provide support services to the commission as required in the performance of the commission’s official duties.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7883B</w:t>
      </w:r>
      <w:r>
        <w:rPr>
          <w:rFonts w:ascii="Times New Roman" w:hAnsi="Times New Roman"/>
          <w:b w:val="false"/>
          <w:i w:val="false"/>
          <w:color w:val="000000"/>
          <w:sz w:val="16"/>
        </w:rPr>
        <w:t>, IAB 7/1/09, effective 7/1/09</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