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821—1.2</w:t>
      </w:r>
      <w:r>
        <w:rPr>
          <w:rFonts w:ascii="Times New Roman" w:hAnsi="Times New Roman"/>
          <w:b/>
          <w:i w:val="false"/>
          <w:color w:val="000000"/>
          <w:sz w:val="22"/>
        </w:rPr>
        <w:t xml:space="preserve">(47) </w:t>
      </w:r>
      <w:r>
        <w:rPr>
          <w:rFonts w:ascii="Times New Roman" w:hAnsi="Times New Roman"/>
          <w:b/>
          <w:i w:val="false"/>
          <w:color w:val="000000"/>
          <w:sz w:val="22"/>
        </w:rPr>
        <w:t xml:space="preserve">State registrar of voters. </w:t>
      </w:r>
      <w:r>
        <w:rPr>
          <w:rFonts w:ascii="Times New Roman" w:hAnsi="Times New Roman"/>
          <w:b w:val="false"/>
          <w:i w:val="false"/>
          <w:color w:val="000000"/>
          <w:sz w:val="22"/>
        </w:rPr>
        <w:t>The state commissioner of elections is designated the state registrar of voters. The state registrar is responsible for the regulation of the preservation, preparation and maintenance of voter registration records. This regulation activity is in accordance with the policies of the voter registration commission.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47.7(1)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