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801—2505.11</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defined in rule </w:t>
      </w:r>
      <w:hyperlink r:id="rId4">
        <w:r>
          <w:rPr>
            <w:rStyle w:val="Hyperlink"/>
            <w:rFonts w:ascii="Times New Roman" w:hAnsi="Times New Roman"/>
            <w:b w:val="false"/>
            <w:i w:val="false"/>
            <w:color w:val="000000"/>
            <w:sz w:val="22"/>
          </w:rPr>
          <w:t>801—2505.9</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5">
        <w:r>
          <w:rPr>
            <w:rStyle w:val="Hyperlink"/>
            <w:rFonts w:ascii="Times New Roman" w:hAnsi="Times New Roman"/>
            <w:b w:val="false"/>
            <w:i w:val="false"/>
            <w:color w:val="000000"/>
            <w:sz w:val="22"/>
          </w:rPr>
          <w:t>7—2505.7(17A,22)</w:t>
        </w:r>
      </w:hyperlink>
      <w:r>
        <w:rPr>
          <w:rFonts w:ascii="Times New Roman" w:hAnsi="Times New Roman"/>
          <w:b w:val="false"/>
          <w:i w:val="false"/>
          <w:color w:val="000000"/>
          <w:sz w:val="22"/>
        </w:rPr>
        <w:t>. In addition, the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or proposed rules. This information is collected pursuant to Iowa Code section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color w:val="000000"/>
          <w:sz w:val="22"/>
        </w:rPr>
        <w:t xml:space="preserve">Iowa commission of veterans affairs meeting records. </w:t>
      </w:r>
      <w:r>
        <w:rPr>
          <w:rFonts w:ascii="Times New Roman" w:hAnsi="Times New Roman"/>
          <w:b w:val="false"/>
          <w:i w:val="false"/>
          <w:color w:val="000000"/>
          <w:sz w:val="22"/>
        </w:rPr>
        <w:t xml:space="preserve">Agendas, minutes, and materials deliberated by the commission are available from the commandant. Commission records contain information about people who participate in meetings. This information is collected pursuant to Iowa Code section </w:t>
      </w:r>
      <w:hyperlink r:id="rId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personal identifier nor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literature, and reports regarding the commission, the department, or the Iowa Veterans Home, newsletters from various veterans associations or from the federal government are available from the commandant. Agency news releases, project reports, and newsletters may contain information about individuals, including agency staff or members of agency committees. This information is not retrieved by individual identifier and is not currently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2505.11(4)</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available from the commandant.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01.2505.9.pdf" Type="http://schemas.openxmlformats.org/officeDocument/2006/relationships/hyperlink" Id="rId4"/>
    <Relationship TargetMode="External" Target="https://www.legis.iowa.gov/docs/iac/rule/7.2505.7.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21.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