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781—2.15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(17A,22). In addition, the records may contain information about the individuals. Unless otherwise designated, the authority for this office to maintain the record is provided by Iowa Code chapter </w:t>
      </w:r>
      <w:hyperlink r:id="rId6">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and the statutes governing the subject matter of the record. All records are stored both on paper and in automated data processing systems unless otherwise noted.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Council and commission records. </w:t>
      </w:r>
      <w:r>
        <w:rPr>
          <w:rFonts w:ascii="Times New Roman" w:hAnsi="Times New Roman"/>
          <w:b w:val="false"/>
          <w:i w:val="false"/>
          <w:color w:val="000000"/>
          <w:sz w:val="22"/>
        </w:rPr>
        <w:t xml:space="preserve">Agendas, minutes, and materials presented to the Iowa centennial memorial foundation and rates set by the state rate setting committee are available from the office of treasurer of state, except those records concerning closed sessions which are exempt from disclosure under Iowa Code section </w:t>
      </w:r>
      <w:hyperlink r:id="rId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are otherwise confidential by law. Council and commission records contain information about people who participate in meetings. This information is collected pursuant to Iowa Code section </w:t>
      </w:r>
      <w:hyperlink r:id="rId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official statements, etc., are available from the office of the treasurer of state. Brochures describing various agency programs are available at the office of treasurer of state. Agency news releases, project reports, and newsletters may contain information about individuals, including agency staff or members of agency councils or committees.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Appeal decisions and advisory opinions. </w:t>
      </w:r>
      <w:r>
        <w:rPr>
          <w:rFonts w:ascii="Times New Roman" w:hAnsi="Times New Roman"/>
          <w:b w:val="false"/>
          <w:i w:val="false"/>
          <w:color w:val="000000"/>
          <w:sz w:val="22"/>
        </w:rPr>
        <w:t>All final orders, decisions and opinions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 employees’ manual, containing the policies and procedures for programs administered by the agency, is available from the office of treasurer of state.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81.2.1.pdf" Type="http://schemas.openxmlformats.org/officeDocument/2006/relationships/hyperlink" Id="rId4"/>
    <Relationship TargetMode="External" Target="https://www.legis.iowa.gov/docs/iac/rule/781.2.13.pdf" Type="http://schemas.openxmlformats.org/officeDocument/2006/relationships/hyperlink" Id="rId5"/>
    <Relationship TargetMode="External" Target="https://www.legis.iowa.gov/docs/ico/chapter/12.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