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751—5.5</w:t>
      </w:r>
      <w:r>
        <w:rPr>
          <w:rFonts w:ascii="Times New Roman" w:hAnsi="Times New Roman"/>
          <w:b/>
          <w:i w:val="false"/>
          <w:color w:val="000000"/>
          <w:sz w:val="22"/>
        </w:rPr>
        <w:t xml:space="preserve">(8D) </w:t>
      </w:r>
      <w:r>
        <w:rPr>
          <w:rFonts w:ascii="Times New Roman" w:hAnsi="Times New Roman"/>
          <w:b/>
          <w:i w:val="false"/>
          <w:color w:val="000000"/>
          <w:sz w:val="22"/>
        </w:rPr>
        <w:t xml:space="preserve">Contract purchases. </w:t>
      </w:r>
      <w:r>
        <w:rPr>
          <w:rFonts w:ascii="Times New Roman" w:hAnsi="Times New Roman"/>
          <w:b w:val="false"/>
          <w:i w:val="false"/>
          <w:color w:val="000000"/>
          <w:sz w:val="22"/>
        </w:rPr>
        <w:t>The commission may enter into contract purchase agreements for items, groups of items, or services. Contract purchase agreements are subject to the competitive bidding requirements previously outlined where applicable. The commission may also purchase items from other contracts obtained by other governmental entities if the law or the contract allows.</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