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751—5.15</w:t>
      </w:r>
      <w:r>
        <w:rPr>
          <w:rFonts w:ascii="Times New Roman" w:hAnsi="Times New Roman"/>
          <w:b/>
          <w:i w:val="false"/>
          <w:color w:val="000000"/>
          <w:sz w:val="22"/>
        </w:rPr>
        <w:t xml:space="preserve">(8D) </w:t>
      </w:r>
      <w:r>
        <w:rPr>
          <w:rFonts w:ascii="Times New Roman" w:hAnsi="Times New Roman"/>
          <w:b/>
          <w:i w:val="false"/>
          <w:color w:val="000000"/>
          <w:sz w:val="22"/>
        </w:rPr>
        <w:t xml:space="preserve">Rejection of bids and proposals. </w:t>
      </w:r>
      <w:r>
        <w:rPr>
          <w:rFonts w:ascii="Times New Roman" w:hAnsi="Times New Roman"/>
          <w:b w:val="false"/>
          <w:i w:val="false"/>
          <w:color w:val="000000"/>
          <w:sz w:val="22"/>
        </w:rPr>
        <w:t>The commission reserves the right to reject any or all bids or proposals. The commission may reject bids and proposals because of faulty specifications, abandonment of the project, insufficient funds, evidence of unfair or flawed bidding procedures, failure of a vendor to meet the commission’s requirements, insufficient evidence of a vendor’s financial capability to perform the contract, or for any other reason if the commission determines that the best interests of the commission will be served by rejecting any or all bids. Following the rejection of bids or proposals, the commission may request new bids or proposals at any time deemed convenient by the commission.</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