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751—5.14</w:t>
      </w:r>
      <w:r>
        <w:rPr>
          <w:rFonts w:ascii="Times New Roman" w:hAnsi="Times New Roman"/>
          <w:b/>
          <w:i w:val="false"/>
          <w:color w:val="000000"/>
          <w:sz w:val="22"/>
        </w:rPr>
        <w:t xml:space="preserve">(8D) </w:t>
      </w:r>
      <w:r>
        <w:rPr>
          <w:rFonts w:ascii="Times New Roman" w:hAnsi="Times New Roman"/>
          <w:b/>
          <w:i w:val="false"/>
          <w:color w:val="000000"/>
          <w:sz w:val="22"/>
        </w:rPr>
        <w:t xml:space="preserve">Financial security. </w:t>
      </w:r>
      <w:r>
        <w:rPr>
          <w:rFonts w:ascii="Times New Roman" w:hAnsi="Times New Roman"/>
          <w:b w:val="false"/>
          <w:i w:val="false"/>
          <w:color w:val="000000"/>
          <w:sz w:val="22"/>
        </w:rPr>
        <w:t>The commission may require bid security, litigation security, and performance security on formal bids or proposals. When required, security may be by certified check, cashier’s check, certificate of deposit, or letter of credit made payable to the commission, or any other form specified by the commission.</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