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751—5.12</w:t>
      </w:r>
      <w:r>
        <w:rPr>
          <w:rFonts w:ascii="Times New Roman" w:hAnsi="Times New Roman"/>
          <w:b/>
          <w:i w:val="false"/>
          <w:color w:val="000000"/>
          <w:sz w:val="22"/>
        </w:rPr>
        <w:t xml:space="preserve">(8D) </w:t>
      </w:r>
      <w:r>
        <w:rPr>
          <w:rFonts w:ascii="Times New Roman" w:hAnsi="Times New Roman"/>
          <w:b/>
          <w:i w:val="false"/>
          <w:color w:val="000000"/>
          <w:sz w:val="22"/>
        </w:rPr>
        <w:t xml:space="preserve">Time of submission. </w:t>
      </w:r>
      <w:r>
        <w:rPr>
          <w:rFonts w:ascii="Times New Roman" w:hAnsi="Times New Roman"/>
          <w:b w:val="false"/>
          <w:i w:val="false"/>
          <w:color w:val="000000"/>
          <w:sz w:val="22"/>
        </w:rPr>
        <w:t>Vendors shall submit all formal bids and proposals in sufficient time to actually reach the commission prior to the date and time set for the opening of the bids or proposals. Vendors shall submit all informal bids in time to reach the commission prior to the time specified by the commission. Bids and proposals received after the date and time set for opening or for submission shall be returned to the vendor unopened. The commission shall notify all vendors to which invitations to bid or requests for proposals were sent of any changes in the time of submission. If a formal invitation to bid or request for proposal is canceled prior to the time set for opening the bids or proposals, the commission shall return unopened any responses already received. If an informal invitation to bid is canceled prior to the time set for receiving bids, the commission shall destroy any bids already received.</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