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751—5.11</w:t>
      </w:r>
      <w:r>
        <w:rPr>
          <w:rFonts w:ascii="Times New Roman" w:hAnsi="Times New Roman"/>
          <w:b/>
          <w:i w:val="false"/>
          <w:color w:val="000000"/>
          <w:sz w:val="22"/>
        </w:rPr>
        <w:t xml:space="preserve">(8D) </w:t>
      </w:r>
      <w:r>
        <w:rPr>
          <w:rFonts w:ascii="Times New Roman" w:hAnsi="Times New Roman"/>
          <w:b/>
          <w:i w:val="false"/>
          <w:color w:val="000000"/>
          <w:sz w:val="22"/>
        </w:rPr>
        <w:t xml:space="preserve">Tie bids. </w:t>
      </w:r>
      <w:r>
        <w:rPr>
          <w:rFonts w:ascii="Times New Roman" w:hAnsi="Times New Roman"/>
          <w:b w:val="false"/>
          <w:i w:val="false"/>
          <w:color w:val="000000"/>
          <w:sz w:val="22"/>
        </w:rPr>
        <w:t>The commission shall resolve ties among bids or proposals which are equal in all respects by drawing lots unless only one of the tied bidders is an Iowa business. If only one of the bidders tied for an award is an Iowa business, the Iowa business shall be given preference over all tied out-of-state businesses. An Iowa business is a resident of the state of Iowa. If it is necessary to draw lots, the drawing shall be held in the presence of the vendors who submitted the tied bids or proposals whenever practical. If the tied vendors are not present, the drawing shall be held in front of at least two persons, and the commission shall document the drawing.</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