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751—2.2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commission is prohibited by law from making available for examination by members of the public, and records or information contained in records that are specified as confidential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commission or a person lawfully delegated authority by its executive director to act for the commission in implementing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these rules means the whole or a part of a “public record”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commission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“Subject”</w:t>
      </w:r>
      <w:r>
        <w:rPr>
          <w:rFonts w:ascii="Times New Roman" w:hAnsi="Times New Roman"/>
          <w:b w:val="false"/>
          <w:i w:val="false"/>
          <w:color w:val="000000"/>
          <w:sz w:val="22"/>
        </w:rPr>
        <w:t> </w:t>
      </w:r>
      <w:r>
        <w:rPr>
          <w:rFonts w:ascii="Times New Roman" w:hAnsi="Times New Roman"/>
          <w:b w:val="false"/>
          <w:i w:val="false"/>
          <w:color w:val="000000"/>
          <w:sz w:val="22"/>
        </w:rPr>
        <w:t>means that person identified in a record.</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