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751—2.15</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commission other than record systems as defined in rule </w:t>
      </w:r>
      <w:hyperlink r:id="rId4">
        <w:r>
          <w:rPr>
            <w:rStyle w:val="Hyperlink"/>
            <w:rFonts w:ascii="Times New Roman" w:hAnsi="Times New Roman"/>
            <w:b w:val="false"/>
            <w:i w:val="false"/>
            <w:color w:val="000000"/>
            <w:sz w:val="22"/>
          </w:rPr>
          <w:t>751—2.2</w:t>
        </w:r>
      </w:hyperlink>
      <w:r>
        <w:rPr>
          <w:rFonts w:ascii="Times New Roman" w:hAnsi="Times New Roman"/>
          <w:b w:val="false"/>
          <w:i w:val="false"/>
          <w:color w:val="000000"/>
          <w:sz w:val="22"/>
        </w:rPr>
        <w:t xml:space="preserve">(17A,22). These records are routinely available to the public. However, the commission’s files of these records may contain confidential information designated as confidential by the originator of the records in conformance with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In addition, some records may contain information about individuals. All storage is in paper form with those items noted by an asterisk (*) also stored in electronic form. None of the information can be matched, collated or compared.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on proposed rules. This information is collected pursuant to Iowa Code section </w:t>
      </w:r>
      <w:hyperlink r:id="rId6">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Commission records. </w:t>
      </w:r>
      <w:r>
        <w:rPr>
          <w:rFonts w:ascii="Times New Roman" w:hAnsi="Times New Roman"/>
          <w:b w:val="false"/>
          <w:i w:val="false"/>
          <w:color w:val="000000"/>
          <w:sz w:val="22"/>
        </w:rPr>
        <w:t xml:space="preserve">Agendas, minutes and materials presented to the commission are available from the office of the executive director, except these records concerning closed sessions which are confidential under Iowa Code section </w:t>
      </w:r>
      <w:hyperlink r:id="rId7">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color w:val="000000"/>
          <w:sz w:val="22"/>
        </w:rPr>
        <w:t xml:space="preserve">Meeting participants. </w:t>
      </w:r>
      <w:r>
        <w:rPr>
          <w:rFonts w:ascii="Times New Roman" w:hAnsi="Times New Roman"/>
          <w:b w:val="false"/>
          <w:i w:val="false"/>
          <w:color w:val="000000"/>
          <w:sz w:val="22"/>
        </w:rPr>
        <w:t xml:space="preserve">Commission records contain information about people who participate in meetings. This information is collected pursuant to Iowa Code section </w:t>
      </w:r>
      <w:hyperlink r:id="rId8">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and commission newsletters, for example, are available from the commission offices for public information. Commission news releases, project reports, and newsletters may contain information about individuals, including commission staff or members of the commission, the councils or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2.15(5)</w:t>
      </w:r>
      <w:r>
        <w:rPr>
          <w:rFonts w:ascii="Times New Roman" w:hAnsi="Times New Roman"/>
          <w:b w:val="false"/>
          <w:i w:val="false"/>
          <w:color w:val="000000"/>
          <w:sz w:val="22"/>
        </w:rPr>
        <w:t> </w:t>
      </w:r>
      <w:r>
        <w:rPr>
          <w:rFonts w:ascii="Times New Roman" w:hAnsi="Times New Roman"/>
          <w:b w:val="false"/>
          <w:i/>
          <w:color w:val="000000"/>
          <w:sz w:val="22"/>
        </w:rPr>
        <w:t xml:space="preserve">Statistical reports. </w:t>
      </w:r>
      <w:r>
        <w:rPr>
          <w:rFonts w:ascii="Times New Roman" w:hAnsi="Times New Roman"/>
          <w:b w:val="false"/>
          <w:i w:val="false"/>
          <w:color w:val="000000"/>
          <w:sz w:val="22"/>
        </w:rPr>
        <w:t>Periodic reports for various commission programs are available from the commission offices for public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2.15(6)</w:t>
      </w:r>
      <w:r>
        <w:rPr>
          <w:rFonts w:ascii="Times New Roman" w:hAnsi="Times New Roman"/>
          <w:b w:val="false"/>
          <w:i w:val="false"/>
          <w:color w:val="000000"/>
          <w:sz w:val="22"/>
        </w:rPr>
        <w:t> </w:t>
      </w:r>
      <w:r>
        <w:rPr>
          <w:rFonts w:ascii="Times New Roman" w:hAnsi="Times New Roman"/>
          <w:b w:val="false"/>
          <w:i/>
          <w:color w:val="000000"/>
          <w:sz w:val="22"/>
        </w:rPr>
        <w:t xml:space="preserve">Published materials. </w:t>
      </w:r>
      <w:r>
        <w:rPr>
          <w:rFonts w:ascii="Times New Roman" w:hAnsi="Times New Roman"/>
          <w:b w:val="false"/>
          <w:i w:val="false"/>
          <w:color w:val="000000"/>
          <w:sz w:val="22"/>
        </w:rPr>
        <w:t>The commission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2.15(7)</w:t>
      </w:r>
      <w:r>
        <w:rPr>
          <w:rFonts w:ascii="Times New Roman" w:hAnsi="Times New Roman"/>
          <w:b w:val="false"/>
          <w:i w:val="false"/>
          <w:color w:val="000000"/>
          <w:sz w:val="22"/>
        </w:rPr>
        <w:t> </w:t>
      </w:r>
      <w:r>
        <w:rPr>
          <w:rFonts w:ascii="Times New Roman" w:hAnsi="Times New Roman"/>
          <w:b w:val="false"/>
          <w:i/>
          <w:color w:val="000000"/>
          <w:sz w:val="22"/>
        </w:rPr>
        <w:t xml:space="preserve">Policy manuals. </w:t>
      </w:r>
      <w:r>
        <w:rPr>
          <w:rFonts w:ascii="Times New Roman" w:hAnsi="Times New Roman"/>
          <w:b w:val="false"/>
          <w:i w:val="false"/>
          <w:color w:val="000000"/>
          <w:sz w:val="22"/>
        </w:rPr>
        <w:t>The commission’s policy manual, containing the policies and procedures for programs administered by the commission, is available in the office of the commission. Policy manuals do not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2.15(8)</w:t>
      </w:r>
      <w:r>
        <w:rPr>
          <w:rFonts w:ascii="Times New Roman" w:hAnsi="Times New Roman"/>
          <w:b w:val="false"/>
          <w:i w:val="false"/>
          <w:color w:val="000000"/>
          <w:sz w:val="22"/>
        </w:rPr>
        <w:t> </w:t>
      </w:r>
      <w:r>
        <w:rPr>
          <w:rFonts w:ascii="Times New Roman" w:hAnsi="Times New Roman"/>
          <w:b w:val="false"/>
          <w:i/>
          <w:color w:val="000000"/>
          <w:sz w:val="22"/>
        </w:rPr>
        <w:t xml:space="preserve">Asset files. </w:t>
      </w:r>
      <w:r>
        <w:rPr>
          <w:rFonts w:ascii="Times New Roman" w:hAnsi="Times New Roman"/>
          <w:b w:val="false"/>
          <w:i w:val="false"/>
          <w:color w:val="000000"/>
          <w:sz w:val="22"/>
        </w:rPr>
        <w:t>Asset management database and inventory database contain a listing of the assets owned by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2.15(9)</w:t>
      </w:r>
      <w:r>
        <w:rPr>
          <w:rFonts w:ascii="Times New Roman" w:hAnsi="Times New Roman"/>
          <w:b w:val="false"/>
          <w:i w:val="false"/>
          <w:color w:val="000000"/>
          <w:sz w:val="22"/>
        </w:rPr>
        <w:t> </w:t>
      </w:r>
      <w:r>
        <w:rPr>
          <w:rFonts w:ascii="Times New Roman" w:hAnsi="Times New Roman"/>
          <w:b w:val="false"/>
          <w:i/>
          <w:color w:val="000000"/>
          <w:sz w:val="22"/>
        </w:rPr>
        <w:t xml:space="preserve">Mailing lists/contact lists. </w:t>
      </w:r>
      <w:r>
        <w:rPr>
          <w:rFonts w:ascii="Times New Roman" w:hAnsi="Times New Roman"/>
          <w:b w:val="false"/>
          <w:i w:val="false"/>
          <w:color w:val="000000"/>
          <w:sz w:val="22"/>
        </w:rPr>
        <w:t>Names, mailing addresses, and telephone numbers of state employees, commission members, officials in government of other states, and members of the general public*, for example, may be used for distribution of informational material, such as newsletters, policy directives or educational bulletins. They are also used to provide contacts for coordination of services or as reference information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2.15(10)</w:t>
      </w:r>
      <w:r>
        <w:rPr>
          <w:rFonts w:ascii="Times New Roman" w:hAnsi="Times New Roman"/>
          <w:b w:val="false"/>
          <w:i w:val="false"/>
          <w:color w:val="000000"/>
          <w:sz w:val="22"/>
        </w:rPr>
        <w:t> </w:t>
      </w:r>
      <w:r>
        <w:rPr>
          <w:rFonts w:ascii="Times New Roman" w:hAnsi="Times New Roman"/>
          <w:b w:val="false"/>
          <w:i/>
          <w:color w:val="000000"/>
          <w:sz w:val="22"/>
        </w:rPr>
        <w:t xml:space="preserve">Authorized user lists. </w:t>
      </w:r>
      <w:r>
        <w:rPr>
          <w:rFonts w:ascii="Times New Roman" w:hAnsi="Times New Roman"/>
          <w:b w:val="false"/>
          <w:i w:val="false"/>
          <w:color w:val="000000"/>
          <w:sz w:val="22"/>
        </w:rPr>
        <w:t>The network maintains a list of persons authorized to use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2.15(11)</w:t>
      </w:r>
      <w:r>
        <w:rPr>
          <w:rFonts w:ascii="Times New Roman" w:hAnsi="Times New Roman"/>
          <w:b w:val="false"/>
          <w:i w:val="false"/>
          <w:color w:val="000000"/>
          <w:sz w:val="22"/>
        </w:rPr>
        <w:t> </w:t>
      </w:r>
      <w:r>
        <w:rPr>
          <w:rFonts w:ascii="Times New Roman" w:hAnsi="Times New Roman"/>
          <w:b w:val="false"/>
          <w:i/>
          <w:color w:val="000000"/>
          <w:sz w:val="22"/>
        </w:rPr>
        <w:t xml:space="preserve">Bid/purchasing process. </w:t>
      </w:r>
      <w:r>
        <w:rPr>
          <w:rFonts w:ascii="Times New Roman" w:hAnsi="Times New Roman"/>
          <w:b w:val="false"/>
          <w:i w:val="false"/>
          <w:color w:val="000000"/>
          <w:sz w:val="22"/>
        </w:rPr>
        <w:t>For example, specifications, proposals, bid documents, awards, contracts, agreements, leases, performance bonds, requisitions, purchase orders, supply orders, and correspondence.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2.15(12)</w:t>
      </w:r>
      <w:r>
        <w:rPr>
          <w:rFonts w:ascii="Times New Roman" w:hAnsi="Times New Roman"/>
          <w:b w:val="false"/>
          <w:i w:val="false"/>
          <w:color w:val="000000"/>
          <w:sz w:val="22"/>
        </w:rPr>
        <w:t> </w:t>
      </w:r>
      <w:r>
        <w:rPr>
          <w:rFonts w:ascii="Times New Roman" w:hAnsi="Times New Roman"/>
          <w:b w:val="false"/>
          <w:i/>
          <w:color w:val="000000"/>
          <w:sz w:val="22"/>
        </w:rPr>
        <w:t xml:space="preserve">Project files. </w:t>
      </w:r>
      <w:r>
        <w:rPr>
          <w:rFonts w:ascii="Times New Roman" w:hAnsi="Times New Roman"/>
          <w:b w:val="false"/>
          <w:i w:val="false"/>
          <w:color w:val="000000"/>
          <w:sz w:val="22"/>
        </w:rPr>
        <w:t>For example, plans, specifications, contracts, studies, drawings, photos, blueprints, requests for services, lease/rental files, and 28E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2.15(13)</w:t>
      </w:r>
      <w:r>
        <w:rPr>
          <w:rFonts w:ascii="Times New Roman" w:hAnsi="Times New Roman"/>
          <w:b w:val="false"/>
          <w:i w:val="false"/>
          <w:color w:val="000000"/>
          <w:sz w:val="22"/>
        </w:rPr>
        <w:t> </w:t>
      </w:r>
      <w:r>
        <w:rPr>
          <w:rFonts w:ascii="Times New Roman" w:hAnsi="Times New Roman"/>
          <w:b w:val="false"/>
          <w:i/>
          <w:color w:val="000000"/>
          <w:sz w:val="22"/>
        </w:rPr>
        <w:t xml:space="preserve">Data processing files. </w:t>
      </w:r>
      <w:r>
        <w:rPr>
          <w:rFonts w:ascii="Times New Roman" w:hAnsi="Times New Roman"/>
          <w:b w:val="false"/>
          <w:i w:val="false"/>
          <w:color w:val="000000"/>
          <w:sz w:val="22"/>
        </w:rPr>
        <w:t>For example, operations logs, data base user requests, job number maintenance/update, data entry format book, integrated data dictionary, computer output forms designations, system software, hardware/software documentation and configurations, problem determinations and resolutions records, and incident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Reports: For example, weekly, monthly, annual, biennial, statistical, analysis, and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Correspondence: For example, public, interdepartmental, and internal.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Organizational charts, and table of authorized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Memberships: Professional/technical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Planning: Disaster recovery plans, emergency operation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Budget and financial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Accounting records such as accounts receivable, accounts payable, receipts, invoices, claims, vouchers, and departmental billings.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Legislative files such as pending bills, enrolled bills, legislative proposals, and copies of amendments.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2.15(15)</w:t>
      </w:r>
      <w:r>
        <w:rPr>
          <w:rFonts w:ascii="Times New Roman" w:hAnsi="Times New Roman"/>
          <w:b w:val="false"/>
          <w:i w:val="false"/>
          <w:color w:val="000000"/>
          <w:sz w:val="22"/>
        </w:rPr>
        <w:t> </w:t>
      </w:r>
      <w:r>
        <w:rPr>
          <w:rFonts w:ascii="Times New Roman" w:hAnsi="Times New Roman"/>
          <w:b w:val="false"/>
          <w:i/>
          <w:color w:val="000000"/>
          <w:sz w:val="22"/>
        </w:rPr>
        <w:t xml:space="preserve">Other records. </w:t>
      </w:r>
      <w:r>
        <w:rPr>
          <w:rFonts w:ascii="Times New Roman" w:hAnsi="Times New Roman"/>
          <w:b w:val="false"/>
          <w:i w:val="false"/>
          <w:color w:val="000000"/>
          <w:sz w:val="22"/>
        </w:rPr>
        <w:t>All other records that are not exempted from disclosure by law are open.</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51.2.2.pdf" Type="http://schemas.openxmlformats.org/officeDocument/2006/relationships/hyperlink" Id="rId4"/>
    <Relationship TargetMode="External" Target="https://www.legis.iowa.gov/docs/ico/chapter/22.pdf" Type="http://schemas.openxmlformats.org/officeDocument/2006/relationships/hyperlink" Id="rId5"/>
    <Relationship TargetMode="External" Target="https://www.legis.iowa.gov/docs/ico/chapter/17A.4.pdf" Type="http://schemas.openxmlformats.org/officeDocument/2006/relationships/hyperlink" Id="rId6"/>
    <Relationship TargetMode="External" Target="https://www.legis.iowa.gov/docs/ico/chapter/21.5.pdf" Type="http://schemas.openxmlformats.org/officeDocument/2006/relationships/hyperlink" Id="rId7"/>
    <Relationship TargetMode="External" Target="https://www.legis.iowa.gov/docs/ico/chapter/21.3.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