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751—2.14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commission by personal identifier in record systems as defined in rule </w:t>
      </w:r>
      <w:hyperlink r:id="rId4">
        <w:r>
          <w:rPr>
            <w:rStyle w:val="Hyperlink"/>
            <w:rFonts w:ascii="Times New Roman" w:hAnsi="Times New Roman"/>
            <w:b w:val="false"/>
            <w:i w:val="false"/>
            <w:color w:val="000000"/>
            <w:sz w:val="22"/>
          </w:rPr>
          <w:t>751—2.2</w:t>
        </w:r>
      </w:hyperlink>
      <w:r>
        <w:rPr>
          <w:rFonts w:ascii="Times New Roman" w:hAnsi="Times New Roman"/>
          <w:b w:val="false"/>
          <w:i w:val="false"/>
          <w:color w:val="000000"/>
          <w:sz w:val="22"/>
        </w:rPr>
        <w:t>(17A,22). For each record system, this rule describes the legal authority for the collection of that information and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commission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Payroll and personnel information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Vendor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Certificates of insurance for contractors performing work for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2.14(4)</w:t>
      </w:r>
      <w:r>
        <w:rPr>
          <w:rFonts w:ascii="Times New Roman" w:hAnsi="Times New Roman"/>
          <w:b w:val="false"/>
          <w:i w:val="false"/>
          <w:color w:val="000000"/>
          <w:sz w:val="22"/>
        </w:rPr>
        <w:t> </w:t>
      </w:r>
      <w:r>
        <w:rPr>
          <w:rFonts w:ascii="Times New Roman" w:hAnsi="Times New Roman"/>
          <w:b w:val="false"/>
          <w:i w:val="false"/>
          <w:color w:val="000000"/>
          <w:sz w:val="22"/>
        </w:rPr>
        <w:t>Referrals to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2.14(5)</w:t>
      </w:r>
      <w:r>
        <w:rPr>
          <w:rFonts w:ascii="Times New Roman" w:hAnsi="Times New Roman"/>
          <w:b w:val="false"/>
          <w:i w:val="false"/>
          <w:color w:val="000000"/>
          <w:sz w:val="22"/>
        </w:rPr>
        <w:t> </w:t>
      </w:r>
      <w:r>
        <w:rPr>
          <w:rFonts w:ascii="Times New Roman" w:hAnsi="Times New Roman"/>
          <w:b w:val="false"/>
          <w:i w:val="false"/>
          <w:color w:val="000000"/>
          <w:sz w:val="22"/>
        </w:rPr>
        <w:t>Contract and lease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2.14(6)</w:t>
      </w:r>
      <w:r>
        <w:rPr>
          <w:rFonts w:ascii="Times New Roman" w:hAnsi="Times New Roman"/>
          <w:b w:val="false"/>
          <w:i w:val="false"/>
          <w:color w:val="000000"/>
          <w:sz w:val="22"/>
        </w:rPr>
        <w:t> </w:t>
      </w:r>
      <w:r>
        <w:rPr>
          <w:rFonts w:ascii="Times New Roman" w:hAnsi="Times New Roman"/>
          <w:b w:val="false"/>
          <w:i w:val="false"/>
          <w:color w:val="000000"/>
          <w:sz w:val="22"/>
        </w:rPr>
        <w:t>Accounts receivable and accounts payable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2.14(7)</w:t>
      </w:r>
      <w:r>
        <w:rPr>
          <w:rFonts w:ascii="Times New Roman" w:hAnsi="Times New Roman"/>
          <w:b w:val="false"/>
          <w:i w:val="false"/>
          <w:color w:val="000000"/>
          <w:sz w:val="22"/>
        </w:rPr>
        <w:t> </w:t>
      </w:r>
      <w:r>
        <w:rPr>
          <w:rFonts w:ascii="Times New Roman" w:hAnsi="Times New Roman"/>
          <w:b w:val="false"/>
          <w:i w:val="false"/>
          <w:color w:val="000000"/>
          <w:sz w:val="22"/>
        </w:rPr>
        <w:t>Various grant planning files, confidential trade secrets, litigation files.</w:t>
      </w:r>
    </w:p>
    <w:p>
      <w:pPr>
        <w:spacing w:before="0" w:after="0"/>
        <w:ind w:left="120"/>
        <w:jc w:val="both"/>
      </w:pPr>
      <w:r>
        <w:rPr>
          <w:rFonts w:ascii="Times New Roman" w:hAnsi="Times New Roman"/>
          <w:b w:val="false"/>
          <w:i w:val="false"/>
          <w:color w:val="000000"/>
          <w:sz w:val="22"/>
        </w:rPr>
        <w:t xml:space="preserve">All of the above-listed records are collected pursuant to the authority of Iowa Code Supplement chapter </w:t>
      </w:r>
      <w:hyperlink r:id="rId5">
        <w:r>
          <w:rPr>
            <w:rStyle w:val="Hyperlink"/>
            <w:rFonts w:ascii="Times New Roman" w:hAnsi="Times New Roman"/>
            <w:b w:val="false"/>
            <w:i w:val="false"/>
            <w:color w:val="000000"/>
            <w:sz w:val="22"/>
          </w:rPr>
          <w:t>8D</w:t>
        </w:r>
      </w:hyperlink>
      <w:r>
        <w:rPr>
          <w:rFonts w:ascii="Times New Roman" w:hAnsi="Times New Roman"/>
          <w:b w:val="false"/>
          <w:i w:val="false"/>
          <w:color w:val="000000"/>
          <w:sz w:val="22"/>
        </w:rPr>
        <w:t>. All are stored in paper form with those items noted by an asterisk (*) also stored in electronic form. Supplementary records in these categories are stored in paper form or on microfilm or microfiche. None of the information stored can be matched, collated or compared.</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2.2.pdf" Type="http://schemas.openxmlformats.org/officeDocument/2006/relationships/hyperlink" Id="rId4"/>
    <Relationship TargetMode="External" Target="https://www.legis.iowa.gov/docs/ico/chapter/8D.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