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741—5.10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remittances identifying individual producers and the amounts remitted, refund requests from producers, and personal information in confidential personnel records. This information is collected pursuant to the authority of Iowa Code chapter </w:t>
      </w:r>
      <w:hyperlink r:id="rId4">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and is stored in the office files of the board office. Personally identifiable information contained in these records except for refund requests shall be confidential. However, appropriate totals, summaries, aggregations, and other staff analyses of information contained in these files, when presented in a form not containing personally identifiable information, shall be public information.</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8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