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741—2.3</w:t>
      </w:r>
      <w:r>
        <w:rPr>
          <w:rFonts w:ascii="Times New Roman" w:hAnsi="Times New Roman"/>
          <w:b/>
          <w:i w:val="false"/>
          <w:color w:val="000000"/>
          <w:sz w:val="22"/>
        </w:rPr>
        <w:t xml:space="preserve">(182)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board,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chairperson or assistants employed by the board shall attempt to settle the matter. In cases indicating a need for interpretation of board policy or legal interpretation, assistants employed by the board may defer action until after consultation with the chairperson or with legal counsel, or the chairperson may defer action until after consultation with legal counsel, or either may defer action until after discussion of the subject at a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assistants employed by the board or chairperson are unsuccessful, the board itself shall act to resolve the matter. In cases indicating a need for legal advice, the board may defer action until after consultation with legal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