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685—15.10</w:t>
      </w:r>
      <w:r>
        <w:rPr>
          <w:rFonts w:ascii="Times New Roman" w:hAnsi="Times New Roman"/>
          <w:b/>
          <w:i w:val="false"/>
          <w:color w:val="000000"/>
          <w:sz w:val="22"/>
        </w:rPr>
        <w:t xml:space="preserve">(17A,22,263B)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4">
        <w:r>
          <w:rPr>
            <w:rStyle w:val="Hyperlink"/>
            <w:rFonts w:ascii="Times New Roman" w:hAnsi="Times New Roman"/>
            <w:b w:val="false"/>
            <w:i w:val="false"/>
            <w:color w:val="000000"/>
            <w:sz w:val="22"/>
          </w:rPr>
          <w:t>685—15.1</w:t>
        </w:r>
      </w:hyperlink>
      <w:r>
        <w:rPr>
          <w:rFonts w:ascii="Times New Roman" w:hAnsi="Times New Roman"/>
          <w:b w:val="false"/>
          <w:i w:val="false"/>
          <w:color w:val="000000"/>
          <w:sz w:val="22"/>
        </w:rPr>
        <w:t>(17A,22,263B). These records are routinely available to the public. However, the agency’s files of these records may contain confidential information. In addition, some records may contain information about individuals.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agency newsletters are available through OSA’s Web site or from the agency. Any news releases, annual or project reports, or newsletters may contain information about individuals, including agency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OSA programs may be available from OSA.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Grants/contracts. </w:t>
      </w:r>
      <w:r>
        <w:rPr>
          <w:rFonts w:ascii="Times New Roman" w:hAnsi="Times New Roman"/>
          <w:b w:val="false"/>
          <w:i w:val="false"/>
          <w:color w:val="000000"/>
          <w:sz w:val="22"/>
        </w:rPr>
        <w:t>OSA may have communications with prospective granting agencies or clients about grants or contracts.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5.15.1.pdf" Type="http://schemas.openxmlformats.org/officeDocument/2006/relationships/hyperlink" Id="rId4"/>
    <Relationship TargetMode="External" Target="https://www.legis.iowa.gov/docs/ico/chapter/17A.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