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681—9.6</w:t>
      </w:r>
      <w:r>
        <w:rPr>
          <w:rFonts w:ascii="Times New Roman" w:hAnsi="Times New Roman"/>
          <w:b/>
          <w:i w:val="false"/>
          <w:color w:val="000000"/>
          <w:sz w:val="22"/>
        </w:rPr>
        <w:t xml:space="preserve">(262) </w:t>
      </w:r>
      <w:r>
        <w:rPr>
          <w:rFonts w:ascii="Times New Roman" w:hAnsi="Times New Roman"/>
          <w:b/>
          <w:i w:val="false"/>
          <w:color w:val="000000"/>
          <w:sz w:val="22"/>
        </w:rPr>
        <w:t xml:space="preserve">Adoption of rules and policies. </w:t>
      </w:r>
      <w:r>
        <w:rPr>
          <w:rFonts w:ascii="Times New Roman" w:hAnsi="Times New Roman"/>
          <w:b w:val="false"/>
          <w:i w:val="false"/>
          <w:color w:val="000000"/>
          <w:sz w:val="22"/>
        </w:rPr>
        <w:t>The president of each institution is delegated the authority to adopt policies as may be appropriate for the operation of the institution and that are not inconsistent with the general rules and policies adopted by the state board of regents. The state board of regents retains the authority to rescind any institutional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