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681—9.4</w:t>
      </w:r>
      <w:r>
        <w:rPr>
          <w:rFonts w:ascii="Times New Roman" w:hAnsi="Times New Roman"/>
          <w:b/>
          <w:i w:val="false"/>
          <w:color w:val="000000"/>
          <w:sz w:val="22"/>
        </w:rPr>
        <w:t xml:space="preserve">(262) </w:t>
      </w:r>
      <w:r>
        <w:rPr>
          <w:rFonts w:ascii="Times New Roman" w:hAnsi="Times New Roman"/>
          <w:b/>
          <w:i w:val="false"/>
          <w:color w:val="000000"/>
          <w:sz w:val="22"/>
        </w:rPr>
        <w:t xml:space="preserve">Procurement policy for goods and services. </w:t>
      </w:r>
      <w:r>
        <w:rPr>
          <w:rFonts w:ascii="Times New Roman" w:hAnsi="Times New Roman"/>
          <w:b w:val="false"/>
          <w:i w:val="false"/>
          <w:color w:val="000000"/>
          <w:sz w:val="22"/>
        </w:rPr>
        <w:t>The best interests of the state of Iowa and of the regents institutions are served through implementation of a full and free competitive purchasing system for the procurement of goods and services. The name of the successful bidder and all other bidders and the amounts bid shall be supplied to any person upon oral or written request following the execution of the prime contract(s) or agreement(s) related to the procurement.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0422D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