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681—9.2</w:t>
      </w:r>
      <w:r>
        <w:rPr>
          <w:rFonts w:ascii="Times New Roman" w:hAnsi="Times New Roman"/>
          <w:b/>
          <w:i w:val="false"/>
          <w:color w:val="000000"/>
          <w:sz w:val="22"/>
        </w:rPr>
        <w:t xml:space="preserve">(262) </w:t>
      </w:r>
      <w:r>
        <w:rPr>
          <w:rFonts w:ascii="Times New Roman" w:hAnsi="Times New Roman"/>
          <w:b/>
          <w:i w:val="false"/>
          <w:color w:val="000000"/>
          <w:sz w:val="22"/>
        </w:rPr>
        <w:t xml:space="preserve">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Transfers among regent institutions. </w:t>
      </w:r>
      <w:r>
        <w:rPr>
          <w:rFonts w:ascii="Times New Roman" w:hAnsi="Times New Roman"/>
          <w:b w:val="false"/>
          <w:i w:val="false"/>
          <w:color w:val="000000"/>
          <w:sz w:val="22"/>
        </w:rPr>
        <w:t>Admission is denied if the applicant currently is under disciplinary suspension or has been dismissed from one of the other regent universities for violation of the state board of regents’ rules of personal conduct and is not eligible to reenter. Further, if such transfer applicant is currently on probation for having violated the state board of regents’ rules of personal conduct at one university, the applicant, if admitted to another regent university, is admitted on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Transfers from nonregent institutions. </w:t>
      </w:r>
      <w:r>
        <w:rPr>
          <w:rFonts w:ascii="Times New Roman" w:hAnsi="Times New Roman"/>
          <w:b w:val="false"/>
          <w:i w:val="false"/>
          <w:color w:val="000000"/>
          <w:sz w:val="22"/>
        </w:rPr>
        <w:t>If the application for admission or the transcript from another institution shows that the applicant is not eligible to reenroll there, further inquiry will be made to determine the reason. Such inquiry may lead to admission, conditional admission, or denial of admission. Appeals from the decision will be referred to appropriate university channels.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Applications from visitors. </w:t>
      </w:r>
      <w:r>
        <w:rPr>
          <w:rFonts w:ascii="Times New Roman" w:hAnsi="Times New Roman"/>
          <w:b w:val="false"/>
          <w:i w:val="false"/>
          <w:color w:val="000000"/>
          <w:sz w:val="22"/>
        </w:rPr>
        <w:t>A visitor to the campus who is believed to have violated the rules of personal conduct and who later applies for admission or employment may be denied admission or employment because of the applicant’s prior conduct, subject to review if the denial is appealed by the applicant. An applicant who would be subject to such a denial and review at any university governed by the state board of regents shall be subject to the same denial and review by the other two regent universities if application for admission or employment is made to them. The three universities shall cooperate in making known the identity of persons barred from admission or employment among all three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