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681—7.3</w:t>
      </w:r>
      <w:r>
        <w:rPr>
          <w:rFonts w:ascii="Times New Roman" w:hAnsi="Times New Roman"/>
          <w:b/>
          <w:i w:val="false"/>
          <w:color w:val="000000"/>
          <w:sz w:val="22"/>
        </w:rPr>
        <w:t xml:space="preserve">(262) </w:t>
      </w:r>
      <w:r>
        <w:rPr>
          <w:rFonts w:ascii="Times New Roman" w:hAnsi="Times New Roman"/>
          <w:b/>
          <w:i w:val="false"/>
          <w:color w:val="000000"/>
          <w:sz w:val="22"/>
        </w:rPr>
        <w:t xml:space="preserve">Contract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Equal employment opportunity. </w:t>
      </w:r>
      <w:r>
        <w:rPr>
          <w:rFonts w:ascii="Times New Roman" w:hAnsi="Times New Roman"/>
          <w:b w:val="false"/>
          <w:i w:val="false"/>
          <w:color w:val="000000"/>
          <w:sz w:val="22"/>
        </w:rPr>
        <w:t>The state board of regents and all institutions under the jurisdiction of the state board of regents are responsible for the administration and promotion of equal opportunity in contracts and services and the prohibition of discriminatory and unfair practices within any program administered by institutions under the jurisdiction of the state board of regents receiving or benefiting from state financial assistance in whole or in part. Every official responsible to the state board of regents who is authorized to make contracts or subcontracts for construction or for goods or services shall cause to be inserted into every such contract or subcontract a clause in which the contractor or subcontractor is prohibited from engaging in discriminatory employment practices in violation of federal and state laws, regulations, and executive orders that pertain to equal employment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Any individual aggrieved by a contractor’s alleged noncompliance with the state board of regents equal employment opportunity policy may file a complaint with the institutional office designated for receiving and investigating complaints of discrimination. Complaints shall be investigated in accordance with established institutional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Bidding requirement. </w:t>
      </w:r>
      <w:r>
        <w:rPr>
          <w:rFonts w:ascii="Times New Roman" w:hAnsi="Times New Roman"/>
          <w:b w:val="false"/>
          <w:i w:val="false"/>
          <w:color w:val="000000"/>
          <w:sz w:val="22"/>
        </w:rPr>
        <w:t>All construction specifications shall include, in the “instruction to bidders,” the following paragraph: “Bidders shall file with each bid a completed state board of regents equal employment opportunity data reporting form as included in the specifications or certify on the certificate of reporting that they have filed their annual equal employment opportunity data reporting form with the state board of regents equal opportunity compliance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0421D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