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681—5.3</w:t>
      </w:r>
      <w:r>
        <w:rPr>
          <w:rFonts w:ascii="Times New Roman" w:hAnsi="Times New Roman"/>
          <w:b/>
          <w:i w:val="false"/>
          <w:color w:val="000000"/>
          <w:sz w:val="22"/>
        </w:rPr>
        <w:t xml:space="preserve">(263) </w:t>
      </w:r>
      <w:r>
        <w:rPr>
          <w:rFonts w:ascii="Times New Roman" w:hAnsi="Times New Roman"/>
          <w:b/>
          <w:i w:val="false"/>
          <w:color w:val="000000"/>
          <w:sz w:val="22"/>
        </w:rPr>
        <w:t xml:space="preserve">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Specimens for which the fee may be waived or deferred by the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Specimens submitted relating to diseases communicable from human to human, from animals to human, provided such examinations are required by rules of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Specimens submitted under statutory authority by state agencies or designees of state agencies that are involved in investigations or episodes challenging the health of the public or the quality of the environment. Expenses caused by emergency testing may be eligible for subsequent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specimen when there is probable cause that a direct threat to public health exists. Such tests may qualify for subsequent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Specimens submitted related to the confirmation or identification of potential WMD according to the Iowa CBRNE Response Protocol.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Specimens for which fees are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Specimens submitted under no statutory authority that are part of special investigations or surveillance programs and where there is no direct threat to the public health or environmental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Specimens submitted for the submitter’s private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Specimens submitted by private concerns and municipalities that are product quality control measures and, therefore, a cost of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Specimens not covered by statute, by rules of the department of health and human services, by rules of the department of natural resources or by this subrule may be examined and charged for at rates to be determined by the laboratory subject to any limitations imposed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0420D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