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681—5.2</w:t>
      </w:r>
      <w:r>
        <w:rPr>
          <w:rFonts w:ascii="Times New Roman" w:hAnsi="Times New Roman"/>
          <w:b/>
          <w:i w:val="false"/>
          <w:color w:val="000000"/>
          <w:sz w:val="22"/>
        </w:rPr>
        <w:t xml:space="preserve">(263) </w:t>
      </w:r>
      <w:r>
        <w:rPr>
          <w:rFonts w:ascii="Times New Roman" w:hAnsi="Times New Roman"/>
          <w:b/>
          <w:i w:val="false"/>
          <w:color w:val="000000"/>
          <w:sz w:val="22"/>
        </w:rPr>
        <w:t xml:space="preserve">Specimens examined.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This being the state public health and environmental laboratory, specimens submitted to it should have a direct or probable significance that is actionable for public health, medical management, or the quality and preservation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Who may submit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physicians, osteopathic physicians, and other licensed practitioners may submit specimens for the diagnosis and control of communicable or other diseases in which such tests are required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Veterinarians may submit animal specimens involving diseases of animals that are communicable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health and human services may submit specimens as stated in Iowa Code section </w:t>
      </w:r>
      <w:hyperlink r:id="rId4">
        <w:r>
          <w:rPr>
            <w:rStyle w:val="Hyperlink"/>
            <w:rFonts w:ascii="Times New Roman" w:hAnsi="Times New Roman"/>
            <w:b w:val="false"/>
            <w:i w:val="false"/>
            <w:color w:val="000000"/>
            <w:sz w:val="22"/>
          </w:rPr>
          <w:t>263.8(2)</w:t>
        </w:r>
      </w:hyperlink>
      <w:r>
        <w:rPr>
          <w:rFonts w:ascii="Times New Roman" w:hAnsi="Times New Roman"/>
          <w:b w:val="false"/>
          <w:i w:val="false"/>
          <w:color w:val="000000"/>
          <w:sz w:val="22"/>
        </w:rPr>
        <w:t>. Other programs, services, and studies may be negotiated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natural resources department may submit specimens necessary in the conduct of its fundamental responsibilities relative to municipal water supplies. Other programs, services, and studies may be negotiated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state agencies, institutions, and municipalities may submit specimens, generally under a contractual arrangement if the submission is to be of a regular or routine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Local departments of health may submit specimens when performing official functions of state regulatory agencies. The examination of other specimens necessary in the support of locally directed programs are provided only with prior clearance and cost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Private individuals may submit specimens to address infectious disease or environmental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Privately owned industries and businesses may submit specimens for environmental studies by prior arrangement with the laboratory on a fee-based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 schools may submit specimens at the discretion of the school nurse, consulting physician, principal, or upon recommendations of the local department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agency, organization, business or individual impacted by a natural disaster may submit specimens that require testing to ensure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First responders, hazmat teams, the Radiological Emergency Response Team, the 71st Civil Support Team, the FBI, the United States Postal Service and any other officially recognized law enforcement or terrorism response agency may submit samples for identification and confirmation of potential weapons of mass destruction (WMD) according to the Iowa Chemical, Biological, Radiological, Nuclear, and Explosive (CBRNE) Response Protocol.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0420D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3.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