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681—5.1</w:t>
      </w:r>
      <w:r>
        <w:rPr>
          <w:rFonts w:ascii="Times New Roman" w:hAnsi="Times New Roman"/>
          <w:b/>
          <w:i w:val="false"/>
          <w:color w:val="000000"/>
          <w:sz w:val="22"/>
        </w:rPr>
        <w:t xml:space="preserve">(263) </w:t>
      </w:r>
      <w:r>
        <w:rPr>
          <w:rFonts w:ascii="Times New Roman" w:hAnsi="Times New Roman"/>
          <w:b/>
          <w:i w:val="false"/>
          <w:color w:val="000000"/>
          <w:sz w:val="22"/>
        </w:rPr>
        <w:t xml:space="preserve">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Scientific. </w:t>
      </w:r>
      <w:r>
        <w:rPr>
          <w:rFonts w:ascii="Times New Roman" w:hAnsi="Times New Roman"/>
          <w:b w:val="false"/>
          <w:i w:val="false"/>
          <w:color w:val="000000"/>
          <w:sz w:val="22"/>
        </w:rPr>
        <w:t>The laboratory provides analytical and reference services, surveillance information, disaster and terrorism response, population data, microbiological, biological, and chemical examinations and other investigations in the areas of disease, newborn and maternal screening, fieldwork and the assessment of environmental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Consultative. </w:t>
      </w:r>
      <w:r>
        <w:rPr>
          <w:rFonts w:ascii="Times New Roman" w:hAnsi="Times New Roman"/>
          <w:b w:val="false"/>
          <w:i w:val="false"/>
          <w:color w:val="000000"/>
          <w:sz w:val="22"/>
        </w:rPr>
        <w:t>The professional staff of the laboratory provide regulatory review, consultative assistance, and data interpretation and evaluation of environmental effects and scientific needs to persons, agencies, and organizations with interest or involvement in public and environmental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Education and training. </w:t>
      </w:r>
      <w:r>
        <w:rPr>
          <w:rFonts w:ascii="Times New Roman" w:hAnsi="Times New Roman"/>
          <w:b w:val="false"/>
          <w:i w:val="false"/>
          <w:color w:val="000000"/>
          <w:sz w:val="22"/>
        </w:rPr>
        <w:t>As part of the laboratory’s academic mission, staff of the laboratory provide education and training for professional colleagues, educators, students, citizens, policymakers and anyone interested in public and environmental health through appropriate educational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Applied research. </w:t>
      </w:r>
      <w:r>
        <w:rPr>
          <w:rFonts w:ascii="Times New Roman" w:hAnsi="Times New Roman"/>
          <w:b w:val="false"/>
          <w:i w:val="false"/>
          <w:color w:val="000000"/>
          <w:sz w:val="22"/>
        </w:rPr>
        <w:t>The laboratory conducts scientific research designed to solve practical problems and to translate basic research to improve public and environmental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0420D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